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110</w:t>
      </w:r>
      <w:r w:rsidRPr="009C49C8">
        <w:rPr>
          <w:rFonts w:ascii="標楷體" w:eastAsia="標楷體" w:hAnsi="標楷體" w:cs="華康中黑體" w:hint="eastAsia"/>
          <w:sz w:val="32"/>
          <w:szCs w:val="32"/>
        </w:rPr>
        <w:t>年</w:t>
      </w:r>
      <w:r w:rsidR="00760AD1">
        <w:rPr>
          <w:rFonts w:ascii="標楷體" w:eastAsia="標楷體" w:hAnsi="標楷體" w:cs="華康中黑體" w:hint="eastAsia"/>
          <w:b/>
          <w:color w:val="0000FF"/>
          <w:sz w:val="48"/>
          <w:szCs w:val="48"/>
        </w:rPr>
        <w:t>1</w:t>
      </w:r>
      <w:r w:rsidR="006E2FCC">
        <w:rPr>
          <w:rFonts w:ascii="標楷體" w:eastAsia="標楷體" w:hAnsi="標楷體" w:cs="華康中黑體" w:hint="eastAsia"/>
          <w:b/>
          <w:color w:val="0000FF"/>
          <w:sz w:val="48"/>
          <w:szCs w:val="48"/>
        </w:rPr>
        <w:t>0</w:t>
      </w:r>
      <w:r w:rsidRPr="009C49C8">
        <w:rPr>
          <w:rFonts w:ascii="標楷體" w:eastAsia="標楷體" w:hAnsi="標楷體" w:cs="華康中黑體" w:hint="eastAsia"/>
          <w:sz w:val="32"/>
          <w:szCs w:val="32"/>
        </w:rPr>
        <w:t>月</w:t>
      </w:r>
      <w:r w:rsidR="006E2FCC">
        <w:rPr>
          <w:rFonts w:ascii="標楷體" w:eastAsia="標楷體" w:hAnsi="標楷體" w:cs="華康中黑體" w:hint="eastAsia"/>
          <w:b/>
          <w:color w:val="0000FF"/>
          <w:sz w:val="48"/>
          <w:szCs w:val="48"/>
        </w:rPr>
        <w:t>31</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2C7D78">
        <w:rPr>
          <w:rFonts w:ascii="標楷體" w:eastAsia="標楷體" w:hAnsi="標楷體" w:cs="華康中黑體" w:hint="eastAsia"/>
          <w:sz w:val="32"/>
          <w:szCs w:val="32"/>
        </w:rPr>
        <w:t>、</w:t>
      </w:r>
      <w:proofErr w:type="gramStart"/>
      <w:r w:rsidR="00B166F5">
        <w:rPr>
          <w:rFonts w:ascii="標楷體" w:eastAsia="標楷體" w:hAnsi="標楷體" w:cs="華康中黑體" w:hint="eastAsia"/>
          <w:sz w:val="32"/>
          <w:szCs w:val="32"/>
        </w:rPr>
        <w:t>台田藥品</w:t>
      </w:r>
      <w:proofErr w:type="gramEnd"/>
      <w:r w:rsidR="00760AD1" w:rsidRPr="00760AD1">
        <w:rPr>
          <w:rFonts w:ascii="標楷體" w:eastAsia="標楷體" w:hAnsi="標楷體" w:cs="華康中黑體" w:hint="eastAsia"/>
          <w:sz w:val="32"/>
          <w:szCs w:val="32"/>
        </w:rPr>
        <w:t>股份有限公司</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65" w:type="dxa"/>
        <w:tblInd w:w="108" w:type="dxa"/>
        <w:tblLook w:val="01E0" w:firstRow="1" w:lastRow="1" w:firstColumn="1" w:lastColumn="1" w:noHBand="0" w:noVBand="0"/>
      </w:tblPr>
      <w:tblGrid>
        <w:gridCol w:w="1920"/>
        <w:gridCol w:w="4459"/>
        <w:gridCol w:w="3686"/>
      </w:tblGrid>
      <w:tr w:rsidR="009C49C8" w:rsidRPr="009C49C8" w:rsidTr="002B7138">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459"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686"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2B7138">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459"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686"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2B7138">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459"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686" w:type="dxa"/>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6E2FCC" w:rsidP="001734BE">
            <w:pPr>
              <w:spacing w:line="480" w:lineRule="exact"/>
              <w:rPr>
                <w:rFonts w:ascii="標楷體" w:eastAsia="標楷體" w:hAnsi="標楷體"/>
                <w:sz w:val="28"/>
                <w:szCs w:val="28"/>
              </w:rPr>
            </w:pPr>
            <w:r>
              <w:rPr>
                <w:rFonts w:ascii="標楷體" w:eastAsia="標楷體" w:hAnsi="標楷體" w:hint="eastAsia"/>
                <w:sz w:val="28"/>
                <w:szCs w:val="28"/>
              </w:rPr>
              <w:t>廖慶龍</w:t>
            </w:r>
            <w:r w:rsidR="009C49C8" w:rsidRPr="009C49C8">
              <w:rPr>
                <w:rFonts w:ascii="標楷體" w:eastAsia="標楷體" w:hAnsi="標楷體" w:hint="eastAsia"/>
                <w:sz w:val="28"/>
                <w:szCs w:val="28"/>
              </w:rPr>
              <w:t>理事長</w:t>
            </w:r>
          </w:p>
          <w:p w:rsidR="000567B4" w:rsidRPr="009C49C8" w:rsidRDefault="001734BE" w:rsidP="0000787E">
            <w:pPr>
              <w:spacing w:line="480" w:lineRule="exact"/>
              <w:rPr>
                <w:rFonts w:ascii="標楷體" w:eastAsia="標楷體" w:hAnsi="標楷體"/>
                <w:sz w:val="28"/>
                <w:szCs w:val="28"/>
              </w:rPr>
            </w:pPr>
            <w:r>
              <w:rPr>
                <w:rFonts w:ascii="標楷體" w:eastAsia="標楷體" w:hAnsi="標楷體" w:hint="eastAsia"/>
                <w:sz w:val="28"/>
                <w:szCs w:val="28"/>
              </w:rPr>
              <w:t>主持人：</w:t>
            </w:r>
            <w:r w:rsidR="0000787E">
              <w:rPr>
                <w:rFonts w:ascii="標楷體" w:eastAsia="標楷體" w:hAnsi="標楷體" w:hint="eastAsia"/>
                <w:sz w:val="28"/>
                <w:szCs w:val="28"/>
              </w:rPr>
              <w:t>施曉雅</w:t>
            </w:r>
            <w:r>
              <w:rPr>
                <w:rFonts w:ascii="標楷體" w:eastAsia="標楷體" w:hAnsi="標楷體" w:hint="eastAsia"/>
                <w:sz w:val="28"/>
                <w:szCs w:val="28"/>
              </w:rPr>
              <w:t>醫師</w:t>
            </w:r>
          </w:p>
        </w:tc>
      </w:tr>
      <w:tr w:rsidR="003E0878" w:rsidRPr="009C49C8" w:rsidTr="002B7138">
        <w:trPr>
          <w:trHeight w:val="603"/>
        </w:trPr>
        <w:tc>
          <w:tcPr>
            <w:tcW w:w="1920" w:type="dxa"/>
            <w:tcBorders>
              <w:bottom w:val="single" w:sz="4" w:space="0" w:color="auto"/>
            </w:tcBorders>
            <w:vAlign w:val="center"/>
          </w:tcPr>
          <w:p w:rsidR="003E0878" w:rsidRPr="009C49C8" w:rsidRDefault="003E087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459" w:type="dxa"/>
            <w:tcBorders>
              <w:bottom w:val="single" w:sz="4" w:space="0" w:color="auto"/>
            </w:tcBorders>
            <w:vAlign w:val="center"/>
          </w:tcPr>
          <w:p w:rsidR="003E0878" w:rsidRPr="009C49C8" w:rsidRDefault="003E0878" w:rsidP="00865D95">
            <w:pPr>
              <w:spacing w:line="480" w:lineRule="exact"/>
              <w:rPr>
                <w:rFonts w:ascii="標楷體" w:eastAsia="標楷體" w:hAnsi="標楷體" w:cs="華康中黑體"/>
                <w:sz w:val="28"/>
                <w:szCs w:val="28"/>
              </w:rPr>
            </w:pPr>
            <w:r w:rsidRPr="0004490A">
              <w:rPr>
                <w:rFonts w:ascii="標楷體" w:eastAsia="標楷體" w:hAnsi="標楷體" w:cs="華康中黑體"/>
                <w:sz w:val="28"/>
                <w:szCs w:val="28"/>
              </w:rPr>
              <w:t xml:space="preserve">The role of </w:t>
            </w:r>
            <w:proofErr w:type="spellStart"/>
            <w:r w:rsidRPr="0004490A">
              <w:rPr>
                <w:rFonts w:ascii="標楷體" w:eastAsia="標楷體" w:hAnsi="標楷體" w:cs="華康中黑體"/>
                <w:sz w:val="28"/>
                <w:szCs w:val="28"/>
              </w:rPr>
              <w:t>canagliflozin</w:t>
            </w:r>
            <w:proofErr w:type="spellEnd"/>
            <w:r w:rsidRPr="0004490A">
              <w:rPr>
                <w:rFonts w:ascii="標楷體" w:eastAsia="標楷體" w:hAnsi="標楷體" w:cs="華康中黑體"/>
                <w:sz w:val="28"/>
                <w:szCs w:val="28"/>
              </w:rPr>
              <w:t xml:space="preserve"> in DKD treatment for cardiac protection</w:t>
            </w:r>
          </w:p>
        </w:tc>
        <w:tc>
          <w:tcPr>
            <w:tcW w:w="3686" w:type="dxa"/>
            <w:tcBorders>
              <w:bottom w:val="single" w:sz="4" w:space="0" w:color="auto"/>
            </w:tcBorders>
          </w:tcPr>
          <w:p w:rsidR="003E0878" w:rsidRPr="0004490A" w:rsidRDefault="003E0878" w:rsidP="00865D95">
            <w:pPr>
              <w:spacing w:line="480" w:lineRule="exact"/>
              <w:rPr>
                <w:rFonts w:ascii="標楷體" w:eastAsia="標楷體" w:hAnsi="標楷體" w:cs="華康中黑體"/>
                <w:sz w:val="28"/>
                <w:szCs w:val="28"/>
              </w:rPr>
            </w:pPr>
            <w:r w:rsidRPr="0004490A">
              <w:rPr>
                <w:rFonts w:ascii="標楷體" w:eastAsia="標楷體" w:hAnsi="標楷體" w:cs="華康中黑體" w:hint="eastAsia"/>
                <w:sz w:val="28"/>
                <w:szCs w:val="28"/>
              </w:rPr>
              <w:t>陳宏麟診所</w:t>
            </w:r>
            <w:r w:rsidR="002B7138">
              <w:rPr>
                <w:rFonts w:ascii="標楷體" w:eastAsia="標楷體" w:hAnsi="標楷體" w:cs="華康中黑體" w:hint="eastAsia"/>
                <w:sz w:val="28"/>
                <w:szCs w:val="28"/>
              </w:rPr>
              <w:t>院長</w:t>
            </w:r>
          </w:p>
          <w:p w:rsidR="003E0878" w:rsidRPr="009C49C8" w:rsidRDefault="002B7138" w:rsidP="00865D95">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陳宏麟醫師</w:t>
            </w:r>
          </w:p>
        </w:tc>
      </w:tr>
      <w:tr w:rsidR="003E0878" w:rsidRPr="009C49C8" w:rsidTr="002B7138">
        <w:trPr>
          <w:trHeight w:val="948"/>
        </w:trPr>
        <w:tc>
          <w:tcPr>
            <w:tcW w:w="1920" w:type="dxa"/>
            <w:tcBorders>
              <w:bottom w:val="single" w:sz="4" w:space="0" w:color="auto"/>
            </w:tcBorders>
            <w:vAlign w:val="center"/>
          </w:tcPr>
          <w:p w:rsidR="003E0878" w:rsidRPr="009C49C8" w:rsidRDefault="003E087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bottom w:val="single" w:sz="4" w:space="0" w:color="auto"/>
            </w:tcBorders>
            <w:vAlign w:val="center"/>
          </w:tcPr>
          <w:p w:rsidR="003E0878" w:rsidRPr="009C49C8" w:rsidRDefault="003E0878" w:rsidP="00865D95">
            <w:pPr>
              <w:spacing w:line="480" w:lineRule="exact"/>
              <w:rPr>
                <w:rFonts w:ascii="標楷體" w:eastAsia="標楷體" w:hAnsi="標楷體"/>
                <w:sz w:val="28"/>
                <w:szCs w:val="28"/>
              </w:rPr>
            </w:pPr>
            <w:r w:rsidRPr="0004490A">
              <w:rPr>
                <w:rFonts w:ascii="標楷體" w:eastAsia="標楷體" w:hAnsi="標楷體"/>
                <w:sz w:val="28"/>
                <w:szCs w:val="28"/>
              </w:rPr>
              <w:t>Albuminuria is a risk marker of cardio-renal complication in diabetes</w:t>
            </w:r>
          </w:p>
        </w:tc>
        <w:tc>
          <w:tcPr>
            <w:tcW w:w="3686" w:type="dxa"/>
            <w:tcBorders>
              <w:bottom w:val="single" w:sz="4" w:space="0" w:color="auto"/>
            </w:tcBorders>
          </w:tcPr>
          <w:p w:rsidR="003E0878" w:rsidRPr="0004490A" w:rsidRDefault="003E0878" w:rsidP="00865D95">
            <w:pPr>
              <w:spacing w:line="480" w:lineRule="exact"/>
              <w:rPr>
                <w:rFonts w:ascii="標楷體" w:eastAsia="標楷體" w:hAnsi="標楷體"/>
                <w:sz w:val="28"/>
                <w:szCs w:val="28"/>
              </w:rPr>
            </w:pPr>
            <w:r w:rsidRPr="0004490A">
              <w:rPr>
                <w:rFonts w:ascii="標楷體" w:eastAsia="標楷體" w:hAnsi="標楷體" w:hint="eastAsia"/>
                <w:sz w:val="28"/>
                <w:szCs w:val="28"/>
              </w:rPr>
              <w:t>謝立偉診所院長</w:t>
            </w:r>
          </w:p>
          <w:p w:rsidR="003E0878" w:rsidRPr="009C49C8" w:rsidRDefault="003E0878" w:rsidP="00865D95">
            <w:pPr>
              <w:spacing w:line="480" w:lineRule="exact"/>
              <w:rPr>
                <w:rFonts w:ascii="標楷體" w:eastAsia="標楷體" w:hAnsi="標楷體"/>
                <w:sz w:val="28"/>
                <w:szCs w:val="28"/>
              </w:rPr>
            </w:pPr>
            <w:r w:rsidRPr="0004490A">
              <w:rPr>
                <w:rFonts w:ascii="標楷體" w:eastAsia="標楷體" w:hAnsi="標楷體" w:hint="eastAsia"/>
                <w:sz w:val="28"/>
                <w:szCs w:val="28"/>
              </w:rPr>
              <w:t>謝立偉醫師</w:t>
            </w:r>
          </w:p>
        </w:tc>
      </w:tr>
      <w:tr w:rsidR="003E0878" w:rsidRPr="009C49C8" w:rsidTr="002B7138">
        <w:trPr>
          <w:trHeight w:val="505"/>
        </w:trPr>
        <w:tc>
          <w:tcPr>
            <w:tcW w:w="1920" w:type="dxa"/>
            <w:tcBorders>
              <w:bottom w:val="single" w:sz="4" w:space="0" w:color="auto"/>
            </w:tcBorders>
            <w:vAlign w:val="center"/>
          </w:tcPr>
          <w:p w:rsidR="003E0878" w:rsidRPr="009C49C8" w:rsidRDefault="003E087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459" w:type="dxa"/>
            <w:tcBorders>
              <w:bottom w:val="single" w:sz="4" w:space="0" w:color="auto"/>
            </w:tcBorders>
            <w:vAlign w:val="center"/>
          </w:tcPr>
          <w:p w:rsidR="003E0878" w:rsidRPr="001737A8" w:rsidRDefault="003E0878" w:rsidP="00865D95">
            <w:pPr>
              <w:spacing w:line="400" w:lineRule="exact"/>
              <w:jc w:val="both"/>
              <w:rPr>
                <w:rFonts w:ascii="標楷體" w:eastAsia="標楷體" w:hAnsi="標楷體"/>
                <w:kern w:val="2"/>
                <w:sz w:val="28"/>
                <w:szCs w:val="24"/>
              </w:rPr>
            </w:pPr>
            <w:r w:rsidRPr="001737A8">
              <w:rPr>
                <w:rFonts w:ascii="標楷體" w:eastAsia="標楷體" w:hAnsi="標楷體" w:hint="eastAsia"/>
                <w:kern w:val="2"/>
                <w:sz w:val="28"/>
                <w:szCs w:val="24"/>
              </w:rPr>
              <w:t>幼兒肥胖對未來健康的影響</w:t>
            </w:r>
          </w:p>
        </w:tc>
        <w:tc>
          <w:tcPr>
            <w:tcW w:w="3686" w:type="dxa"/>
            <w:tcBorders>
              <w:bottom w:val="single" w:sz="4" w:space="0" w:color="auto"/>
            </w:tcBorders>
            <w:vAlign w:val="center"/>
          </w:tcPr>
          <w:p w:rsidR="002B7138" w:rsidRDefault="003E0878" w:rsidP="00BB1BDC">
            <w:pPr>
              <w:spacing w:line="400" w:lineRule="exact"/>
              <w:jc w:val="both"/>
              <w:rPr>
                <w:rFonts w:ascii="標楷體" w:eastAsia="標楷體" w:hAnsi="標楷體" w:cs="Arial" w:hint="eastAsia"/>
                <w:sz w:val="28"/>
                <w:szCs w:val="24"/>
                <w:shd w:val="clear" w:color="auto" w:fill="FFFFFF"/>
              </w:rPr>
            </w:pPr>
            <w:r w:rsidRPr="001737A8">
              <w:rPr>
                <w:rFonts w:ascii="標楷體" w:eastAsia="標楷體" w:hAnsi="標楷體" w:cs="Arial"/>
                <w:sz w:val="28"/>
                <w:szCs w:val="24"/>
                <w:shd w:val="clear" w:color="auto" w:fill="FFFFFF"/>
              </w:rPr>
              <w:t>台中榮總兒童肝膽胃腸科</w:t>
            </w:r>
          </w:p>
          <w:p w:rsidR="003E0878" w:rsidRPr="001737A8" w:rsidRDefault="003E0878" w:rsidP="00BB1BDC">
            <w:pPr>
              <w:spacing w:line="400" w:lineRule="exact"/>
              <w:jc w:val="both"/>
              <w:rPr>
                <w:rFonts w:ascii="標楷體" w:eastAsia="標楷體" w:hAnsi="標楷體"/>
                <w:kern w:val="2"/>
                <w:sz w:val="28"/>
                <w:szCs w:val="24"/>
              </w:rPr>
            </w:pPr>
            <w:r w:rsidRPr="001737A8">
              <w:rPr>
                <w:rFonts w:ascii="標楷體" w:eastAsia="標楷體" w:hAnsi="標楷體" w:cs="Arial"/>
                <w:sz w:val="28"/>
                <w:szCs w:val="24"/>
                <w:shd w:val="clear" w:color="auto" w:fill="FFFFFF"/>
              </w:rPr>
              <w:t>主任</w:t>
            </w:r>
            <w:r>
              <w:rPr>
                <w:rFonts w:ascii="標楷體" w:eastAsia="標楷體" w:hAnsi="標楷體" w:cs="Arial" w:hint="eastAsia"/>
                <w:sz w:val="28"/>
                <w:szCs w:val="24"/>
                <w:shd w:val="clear" w:color="auto" w:fill="FFFFFF"/>
              </w:rPr>
              <w:t xml:space="preserve">  </w:t>
            </w:r>
            <w:r w:rsidRPr="001737A8">
              <w:rPr>
                <w:rFonts w:ascii="標楷體" w:eastAsia="標楷體" w:hAnsi="標楷體" w:hint="eastAsia"/>
                <w:kern w:val="2"/>
                <w:sz w:val="28"/>
                <w:szCs w:val="24"/>
              </w:rPr>
              <w:t>吳孟哲</w:t>
            </w:r>
            <w:r w:rsidRPr="001737A8">
              <w:rPr>
                <w:rFonts w:ascii="標楷體" w:eastAsia="標楷體" w:hAnsi="標楷體" w:hint="eastAsia"/>
                <w:sz w:val="28"/>
                <w:szCs w:val="24"/>
              </w:rPr>
              <w:t>醫師</w:t>
            </w:r>
          </w:p>
        </w:tc>
      </w:tr>
      <w:tr w:rsidR="003E0878" w:rsidRPr="009C49C8" w:rsidTr="002B7138">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3E0878" w:rsidRPr="009C49C8" w:rsidRDefault="003E087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459" w:type="dxa"/>
            <w:tcBorders>
              <w:top w:val="single" w:sz="4" w:space="0" w:color="auto"/>
              <w:left w:val="single" w:sz="4" w:space="0" w:color="auto"/>
              <w:bottom w:val="single" w:sz="4" w:space="0" w:color="auto"/>
              <w:right w:val="single" w:sz="4" w:space="0" w:color="auto"/>
            </w:tcBorders>
            <w:vAlign w:val="center"/>
          </w:tcPr>
          <w:p w:rsidR="003E0878" w:rsidRPr="001737A8" w:rsidRDefault="003E0878" w:rsidP="00865D95">
            <w:pPr>
              <w:spacing w:line="400" w:lineRule="exact"/>
              <w:jc w:val="both"/>
              <w:rPr>
                <w:rFonts w:ascii="標楷體" w:eastAsia="標楷體" w:hAnsi="標楷體"/>
                <w:sz w:val="28"/>
                <w:szCs w:val="24"/>
              </w:rPr>
            </w:pPr>
            <w:r w:rsidRPr="008168C2">
              <w:rPr>
                <w:rFonts w:ascii="標楷體" w:eastAsia="標楷體" w:hAnsi="標楷體" w:hint="eastAsia"/>
                <w:sz w:val="28"/>
                <w:szCs w:val="24"/>
              </w:rPr>
              <w:t>早產兒出院後的營養與追蹤</w:t>
            </w:r>
          </w:p>
        </w:tc>
        <w:tc>
          <w:tcPr>
            <w:tcW w:w="3686" w:type="dxa"/>
            <w:tcBorders>
              <w:top w:val="single" w:sz="4" w:space="0" w:color="auto"/>
              <w:left w:val="single" w:sz="4" w:space="0" w:color="auto"/>
              <w:bottom w:val="single" w:sz="4" w:space="0" w:color="auto"/>
              <w:right w:val="single" w:sz="4" w:space="0" w:color="auto"/>
            </w:tcBorders>
            <w:vAlign w:val="center"/>
          </w:tcPr>
          <w:p w:rsidR="002B7138" w:rsidRDefault="003E0878" w:rsidP="00865D95">
            <w:pPr>
              <w:spacing w:line="400" w:lineRule="exact"/>
              <w:jc w:val="both"/>
              <w:rPr>
                <w:rFonts w:ascii="標楷體" w:eastAsia="標楷體" w:hAnsi="標楷體" w:cs="Arial" w:hint="eastAsia"/>
                <w:sz w:val="28"/>
                <w:szCs w:val="24"/>
              </w:rPr>
            </w:pPr>
            <w:r w:rsidRPr="001737A8">
              <w:rPr>
                <w:rFonts w:ascii="標楷體" w:eastAsia="標楷體" w:hAnsi="標楷體" w:cs="Arial"/>
                <w:sz w:val="28"/>
                <w:szCs w:val="24"/>
              </w:rPr>
              <w:t>彰化基督教兒童醫院</w:t>
            </w:r>
          </w:p>
          <w:p w:rsidR="003E0878" w:rsidRPr="001737A8" w:rsidRDefault="003E0878" w:rsidP="00865D95">
            <w:pPr>
              <w:spacing w:line="400" w:lineRule="exact"/>
              <w:jc w:val="both"/>
              <w:rPr>
                <w:rFonts w:ascii="標楷體" w:eastAsia="標楷體" w:hAnsi="標楷體"/>
                <w:sz w:val="28"/>
                <w:szCs w:val="24"/>
              </w:rPr>
            </w:pPr>
            <w:r w:rsidRPr="001737A8">
              <w:rPr>
                <w:rFonts w:ascii="標楷體" w:eastAsia="標楷體" w:hAnsi="標楷體" w:cs="Arial"/>
                <w:sz w:val="28"/>
                <w:szCs w:val="24"/>
              </w:rPr>
              <w:t>新生兒科主任</w:t>
            </w:r>
            <w:r>
              <w:rPr>
                <w:rFonts w:ascii="標楷體" w:eastAsia="標楷體" w:hAnsi="標楷體" w:cs="Arial" w:hint="eastAsia"/>
                <w:sz w:val="28"/>
                <w:szCs w:val="24"/>
              </w:rPr>
              <w:t xml:space="preserve">  </w:t>
            </w:r>
            <w:r w:rsidRPr="001737A8">
              <w:rPr>
                <w:rFonts w:ascii="標楷體" w:eastAsia="標楷體" w:hAnsi="標楷體" w:hint="eastAsia"/>
                <w:sz w:val="28"/>
                <w:szCs w:val="24"/>
              </w:rPr>
              <w:t>蕭建洲醫師</w:t>
            </w:r>
          </w:p>
        </w:tc>
      </w:tr>
    </w:tbl>
    <w:p w:rsidR="00006B0D" w:rsidRDefault="00006B0D"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hint="eastAsia"/>
          <w:sz w:val="32"/>
          <w:szCs w:val="32"/>
        </w:rPr>
      </w:pPr>
    </w:p>
    <w:p w:rsidR="00DC4BFA" w:rsidRDefault="00DC4BFA" w:rsidP="006E2FCC">
      <w:pPr>
        <w:spacing w:line="480" w:lineRule="exact"/>
        <w:rPr>
          <w:rFonts w:ascii="標楷體" w:eastAsia="標楷體" w:hAnsi="標楷體" w:cs="華康中黑體"/>
          <w:sz w:val="32"/>
          <w:szCs w:val="32"/>
        </w:rPr>
      </w:pPr>
      <w:bookmarkStart w:id="0" w:name="_GoBack"/>
      <w:bookmarkEnd w:id="0"/>
    </w:p>
    <w:tbl>
      <w:tblPr>
        <w:tblStyle w:val="1"/>
        <w:tblW w:w="0" w:type="auto"/>
        <w:tblInd w:w="-176" w:type="dxa"/>
        <w:tblLook w:val="04A0" w:firstRow="1" w:lastRow="0" w:firstColumn="1" w:lastColumn="0" w:noHBand="0" w:noVBand="1"/>
      </w:tblPr>
      <w:tblGrid>
        <w:gridCol w:w="10040"/>
      </w:tblGrid>
      <w:tr w:rsidR="00D118A4" w:rsidRPr="00D118A4" w:rsidTr="007C6F6C">
        <w:tc>
          <w:tcPr>
            <w:tcW w:w="10040" w:type="dxa"/>
          </w:tcPr>
          <w:p w:rsidR="00D118A4" w:rsidRPr="00D118A4" w:rsidRDefault="00D118A4" w:rsidP="000E36A1">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sidR="005C0CF0">
              <w:rPr>
                <w:rFonts w:ascii="華康中黑體" w:eastAsia="華康中黑體" w:hAnsi="華康中黑體" w:cs="華康中黑體" w:hint="eastAsia"/>
                <w:sz w:val="32"/>
                <w:szCs w:val="32"/>
              </w:rPr>
              <w:t>110</w:t>
            </w:r>
            <w:r w:rsidRPr="00D118A4">
              <w:rPr>
                <w:rFonts w:ascii="華康中黑體" w:eastAsia="華康中黑體" w:hAnsi="華康中黑體" w:cs="華康中黑體" w:hint="eastAsia"/>
                <w:sz w:val="32"/>
                <w:szCs w:val="32"/>
              </w:rPr>
              <w:t>年</w:t>
            </w:r>
            <w:r w:rsidR="007C6F6C">
              <w:rPr>
                <w:rFonts w:ascii="華康中黑體" w:eastAsia="華康中黑體" w:hAnsi="華康中黑體" w:cs="華康中黑體" w:hint="eastAsia"/>
                <w:sz w:val="32"/>
                <w:szCs w:val="32"/>
              </w:rPr>
              <w:t>11</w:t>
            </w:r>
            <w:r w:rsidRPr="00D118A4">
              <w:rPr>
                <w:rFonts w:ascii="華康中黑體" w:eastAsia="華康中黑體" w:hAnsi="華康中黑體" w:cs="華康中黑體" w:hint="eastAsia"/>
                <w:sz w:val="32"/>
                <w:szCs w:val="32"/>
              </w:rPr>
              <w:t>月</w:t>
            </w:r>
            <w:r w:rsidR="000E36A1">
              <w:rPr>
                <w:rFonts w:ascii="華康中黑體" w:eastAsia="華康中黑體" w:hAnsi="華康中黑體" w:cs="華康中黑體" w:hint="eastAsia"/>
                <w:sz w:val="32"/>
                <w:szCs w:val="32"/>
              </w:rPr>
              <w:t>14</w:t>
            </w:r>
            <w:r w:rsidRPr="00D118A4">
              <w:rPr>
                <w:rFonts w:ascii="華康中黑體" w:eastAsia="華康中黑體" w:hAnsi="華康中黑體" w:cs="華康中黑體" w:hint="eastAsia"/>
                <w:sz w:val="32"/>
                <w:szCs w:val="32"/>
              </w:rPr>
              <w:t xml:space="preserve">日（星期日）14：00彰化縣農會 </w:t>
            </w:r>
          </w:p>
        </w:tc>
      </w:tr>
    </w:tbl>
    <w:p w:rsidR="00940E86" w:rsidRPr="000E36A1" w:rsidRDefault="001E3760" w:rsidP="001E3760">
      <w:pPr>
        <w:spacing w:line="560" w:lineRule="exact"/>
        <w:rPr>
          <w:rFonts w:ascii="標楷體" w:eastAsia="標楷體" w:hAnsi="標楷體" w:cs="華康中黑體"/>
          <w:color w:val="3333FF"/>
          <w:sz w:val="40"/>
          <w:szCs w:val="40"/>
        </w:rPr>
      </w:pPr>
      <w:r w:rsidRPr="000E36A1">
        <w:rPr>
          <w:rFonts w:ascii="標楷體" w:eastAsia="標楷體" w:hAnsi="標楷體" w:cs="華康中黑體" w:hint="eastAsia"/>
          <w:color w:val="3333FF"/>
          <w:sz w:val="40"/>
          <w:szCs w:val="40"/>
        </w:rPr>
        <w:lastRenderedPageBreak/>
        <w:t>陳宏麟醫師</w:t>
      </w:r>
      <w:r w:rsidR="00A204A7" w:rsidRPr="000E36A1">
        <w:rPr>
          <w:rFonts w:ascii="標楷體" w:eastAsia="標楷體" w:hAnsi="標楷體" w:cs="華康中黑體" w:hint="eastAsia"/>
          <w:color w:val="3333FF"/>
          <w:sz w:val="40"/>
          <w:szCs w:val="40"/>
        </w:rPr>
        <w:t>學經歷</w:t>
      </w:r>
    </w:p>
    <w:p w:rsidR="001E3760" w:rsidRDefault="003E0878"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學歷：</w:t>
      </w:r>
      <w:r w:rsidR="001E3760" w:rsidRPr="001E3760">
        <w:rPr>
          <w:rFonts w:ascii="標楷體" w:eastAsia="標楷體" w:hAnsi="標楷體" w:cs="華康中黑體" w:hint="eastAsia"/>
          <w:sz w:val="28"/>
          <w:szCs w:val="28"/>
        </w:rPr>
        <w:t>高雄醫學大學醫學技術學系及醫學研究所</w:t>
      </w:r>
      <w:r w:rsidR="00940E86">
        <w:rPr>
          <w:rFonts w:ascii="標楷體" w:eastAsia="標楷體" w:hAnsi="標楷體" w:cs="華康中黑體" w:hint="eastAsia"/>
          <w:sz w:val="28"/>
          <w:szCs w:val="28"/>
        </w:rPr>
        <w:t xml:space="preserve">  </w:t>
      </w:r>
      <w:r w:rsidR="00940E86" w:rsidRPr="00940E86">
        <w:rPr>
          <w:rFonts w:ascii="標楷體" w:eastAsia="標楷體" w:hAnsi="標楷體" w:cs="華康中黑體" w:hint="eastAsia"/>
          <w:sz w:val="28"/>
          <w:szCs w:val="28"/>
        </w:rPr>
        <w:t>1992年畢業</w:t>
      </w:r>
    </w:p>
    <w:p w:rsidR="00940E86" w:rsidRDefault="003E0878"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940E86" w:rsidRPr="00940E86">
        <w:rPr>
          <w:rFonts w:ascii="標楷體" w:eastAsia="標楷體" w:hAnsi="標楷體" w:cs="華康中黑體" w:hint="eastAsia"/>
          <w:sz w:val="28"/>
          <w:szCs w:val="28"/>
        </w:rPr>
        <w:t>高雄醫學大學醫學檢驗生物技術學系博士班</w:t>
      </w:r>
      <w:r w:rsidR="00940E86">
        <w:rPr>
          <w:rFonts w:ascii="標楷體" w:eastAsia="標楷體" w:hAnsi="標楷體" w:cs="華康中黑體" w:hint="eastAsia"/>
          <w:sz w:val="28"/>
          <w:szCs w:val="28"/>
        </w:rPr>
        <w:t xml:space="preserve">  </w:t>
      </w:r>
      <w:r w:rsidR="00940E86" w:rsidRPr="00940E86">
        <w:rPr>
          <w:rFonts w:ascii="標楷體" w:eastAsia="標楷體" w:hAnsi="標楷體" w:cs="華康中黑體"/>
          <w:sz w:val="28"/>
          <w:szCs w:val="28"/>
        </w:rPr>
        <w:t>2016</w:t>
      </w:r>
    </w:p>
    <w:p w:rsidR="0026335C" w:rsidRPr="0026335C" w:rsidRDefault="0026335C" w:rsidP="0026335C">
      <w:pPr>
        <w:spacing w:line="560" w:lineRule="exact"/>
        <w:rPr>
          <w:rFonts w:ascii="標楷體" w:eastAsia="標楷體" w:hAnsi="標楷體" w:cs="華康中黑體" w:hint="eastAsia"/>
          <w:sz w:val="28"/>
          <w:szCs w:val="28"/>
        </w:rPr>
      </w:pPr>
      <w:r w:rsidRPr="0026335C">
        <w:rPr>
          <w:rFonts w:ascii="標楷體" w:eastAsia="標楷體" w:hAnsi="標楷體" w:cs="華康中黑體" w:hint="eastAsia"/>
          <w:sz w:val="28"/>
          <w:szCs w:val="28"/>
        </w:rPr>
        <w:t>現任：陳宏麟診所 院長</w:t>
      </w:r>
    </w:p>
    <w:p w:rsidR="0026335C" w:rsidRPr="0026335C" w:rsidRDefault="009648B2" w:rsidP="0026335C">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26335C" w:rsidRPr="0026335C">
        <w:rPr>
          <w:rFonts w:ascii="標楷體" w:eastAsia="標楷體" w:hAnsi="標楷體" w:cs="華康中黑體" w:hint="eastAsia"/>
          <w:sz w:val="28"/>
          <w:szCs w:val="28"/>
        </w:rPr>
        <w:t>南投縣西醫診所協會理事長</w:t>
      </w:r>
    </w:p>
    <w:p w:rsidR="0026335C" w:rsidRPr="0026335C" w:rsidRDefault="009648B2" w:rsidP="0026335C">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26335C" w:rsidRPr="0026335C">
        <w:rPr>
          <w:rFonts w:ascii="標楷體" w:eastAsia="標楷體" w:hAnsi="標楷體" w:cs="華康中黑體" w:hint="eastAsia"/>
          <w:sz w:val="28"/>
          <w:szCs w:val="28"/>
        </w:rPr>
        <w:t>台灣家庭</w:t>
      </w:r>
      <w:proofErr w:type="gramStart"/>
      <w:r w:rsidR="0026335C" w:rsidRPr="0026335C">
        <w:rPr>
          <w:rFonts w:ascii="標楷體" w:eastAsia="標楷體" w:hAnsi="標楷體" w:cs="華康中黑體" w:hint="eastAsia"/>
          <w:sz w:val="28"/>
          <w:szCs w:val="28"/>
        </w:rPr>
        <w:t>醫學醫學</w:t>
      </w:r>
      <w:proofErr w:type="gramEnd"/>
      <w:r w:rsidR="0026335C" w:rsidRPr="0026335C">
        <w:rPr>
          <w:rFonts w:ascii="標楷體" w:eastAsia="標楷體" w:hAnsi="標楷體" w:cs="華康中黑體" w:hint="eastAsia"/>
          <w:sz w:val="28"/>
          <w:szCs w:val="28"/>
        </w:rPr>
        <w:t>會副秘書長</w:t>
      </w:r>
    </w:p>
    <w:p w:rsidR="0026335C" w:rsidRPr="001E3760" w:rsidRDefault="009648B2" w:rsidP="0026335C">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26335C" w:rsidRPr="0026335C">
        <w:rPr>
          <w:rFonts w:ascii="標楷體" w:eastAsia="標楷體" w:hAnsi="標楷體" w:cs="華康中黑體" w:hint="eastAsia"/>
          <w:sz w:val="28"/>
          <w:szCs w:val="28"/>
        </w:rPr>
        <w:t>中華民國診所協會全國聯合會執行長</w:t>
      </w:r>
    </w:p>
    <w:p w:rsidR="003E0878" w:rsidRDefault="003E0878"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經歷：</w:t>
      </w:r>
      <w:r w:rsidR="001E3760" w:rsidRPr="001E3760">
        <w:rPr>
          <w:rFonts w:ascii="標楷體" w:eastAsia="標楷體" w:hAnsi="標楷體" w:cs="華康中黑體" w:hint="eastAsia"/>
          <w:sz w:val="28"/>
          <w:szCs w:val="28"/>
        </w:rPr>
        <w:t>長庚醫學大學醫學院副研究員研究癌症分子生物學</w:t>
      </w:r>
    </w:p>
    <w:p w:rsidR="001E3760" w:rsidRPr="001E3760" w:rsidRDefault="003E0878"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1997年畢業於FATIMA大學醫學院並於1997年通過美國醫師國考USMLE</w:t>
      </w:r>
    </w:p>
    <w:p w:rsidR="003E0878" w:rsidRDefault="003E0878"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中山醫學大學附設醫院家庭醫學科及急診醫學科接受訓練成為主治醫師</w:t>
      </w:r>
    </w:p>
    <w:p w:rsidR="001E3760" w:rsidRPr="001E3760" w:rsidRDefault="003E0878"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專科醫師</w:t>
      </w:r>
    </w:p>
    <w:p w:rsidR="003E0878" w:rsidRDefault="003E0878"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2002年埔里鎮衛生所擔任醫師兼主任</w:t>
      </w:r>
    </w:p>
    <w:p w:rsidR="001E3760" w:rsidRPr="001E3760" w:rsidRDefault="003E0878"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中華民國糖尿病衛教學會CDE合格衛教醫師</w:t>
      </w:r>
    </w:p>
    <w:p w:rsidR="0026335C" w:rsidRDefault="003E0878"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2011年開設陳宏麟診所</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財團法人</w:t>
      </w:r>
      <w:proofErr w:type="gramStart"/>
      <w:r w:rsidR="001E3760" w:rsidRPr="001E3760">
        <w:rPr>
          <w:rFonts w:ascii="標楷體" w:eastAsia="標楷體" w:hAnsi="標楷體" w:cs="華康中黑體" w:hint="eastAsia"/>
          <w:sz w:val="28"/>
          <w:szCs w:val="28"/>
        </w:rPr>
        <w:t>臺</w:t>
      </w:r>
      <w:proofErr w:type="gramEnd"/>
      <w:r w:rsidR="001E3760" w:rsidRPr="001E3760">
        <w:rPr>
          <w:rFonts w:ascii="標楷體" w:eastAsia="標楷體" w:hAnsi="標楷體" w:cs="華康中黑體" w:hint="eastAsia"/>
          <w:sz w:val="28"/>
          <w:szCs w:val="28"/>
        </w:rPr>
        <w:t>安醫院新起點健康教育中心負責醫師</w:t>
      </w:r>
    </w:p>
    <w:p w:rsidR="0026335C" w:rsidRDefault="0026335C"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2012取得國民健康局糖尿病健康促進機構認證</w:t>
      </w:r>
    </w:p>
    <w:p w:rsidR="0026335C" w:rsidRDefault="0026335C"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2013年及2014年榮獲國民</w:t>
      </w:r>
      <w:proofErr w:type="gramStart"/>
      <w:r w:rsidR="001E3760" w:rsidRPr="001E3760">
        <w:rPr>
          <w:rFonts w:ascii="標楷體" w:eastAsia="標楷體" w:hAnsi="標楷體" w:cs="華康中黑體" w:hint="eastAsia"/>
          <w:sz w:val="28"/>
          <w:szCs w:val="28"/>
        </w:rPr>
        <w:t>健康署</w:t>
      </w:r>
      <w:proofErr w:type="gramEnd"/>
      <w:r w:rsidR="001E3760" w:rsidRPr="001E3760">
        <w:rPr>
          <w:rFonts w:ascii="標楷體" w:eastAsia="標楷體" w:hAnsi="標楷體" w:cs="華康中黑體" w:hint="eastAsia"/>
          <w:sz w:val="28"/>
          <w:szCs w:val="28"/>
        </w:rPr>
        <w:t>糖尿病健康促進機構收案成長與照護品</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proofErr w:type="gramStart"/>
      <w:r w:rsidR="001E3760" w:rsidRPr="001E3760">
        <w:rPr>
          <w:rFonts w:ascii="標楷體" w:eastAsia="標楷體" w:hAnsi="標楷體" w:cs="華康中黑體" w:hint="eastAsia"/>
          <w:sz w:val="28"/>
          <w:szCs w:val="28"/>
        </w:rPr>
        <w:t>質雙項</w:t>
      </w:r>
      <w:proofErr w:type="gramEnd"/>
      <w:r w:rsidR="001E3760" w:rsidRPr="001E3760">
        <w:rPr>
          <w:rFonts w:ascii="標楷體" w:eastAsia="標楷體" w:hAnsi="標楷體" w:cs="華康中黑體" w:hint="eastAsia"/>
          <w:sz w:val="28"/>
          <w:szCs w:val="28"/>
        </w:rPr>
        <w:t>特優獎</w:t>
      </w:r>
    </w:p>
    <w:p w:rsidR="0026335C" w:rsidRDefault="0026335C"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2015年榮獲健保署糖尿病品質卓越獎</w:t>
      </w:r>
      <w:r>
        <w:rPr>
          <w:rFonts w:ascii="標楷體" w:eastAsia="標楷體" w:hAnsi="標楷體" w:cs="華康中黑體" w:hint="eastAsia"/>
          <w:sz w:val="28"/>
          <w:szCs w:val="28"/>
        </w:rPr>
        <w:t>及</w:t>
      </w:r>
      <w:r w:rsidR="001E3760" w:rsidRPr="001E3760">
        <w:rPr>
          <w:rFonts w:ascii="標楷體" w:eastAsia="標楷體" w:hAnsi="標楷體" w:cs="華康中黑體" w:hint="eastAsia"/>
          <w:sz w:val="28"/>
          <w:szCs w:val="28"/>
        </w:rPr>
        <w:t>國民</w:t>
      </w:r>
      <w:proofErr w:type="gramStart"/>
      <w:r w:rsidR="001E3760" w:rsidRPr="001E3760">
        <w:rPr>
          <w:rFonts w:ascii="標楷體" w:eastAsia="標楷體" w:hAnsi="標楷體" w:cs="華康中黑體" w:hint="eastAsia"/>
          <w:sz w:val="28"/>
          <w:szCs w:val="28"/>
        </w:rPr>
        <w:t>健康署</w:t>
      </w:r>
      <w:proofErr w:type="gramEnd"/>
      <w:r w:rsidR="001E3760" w:rsidRPr="001E3760">
        <w:rPr>
          <w:rFonts w:ascii="標楷體" w:eastAsia="標楷體" w:hAnsi="標楷體" w:cs="華康中黑體" w:hint="eastAsia"/>
          <w:sz w:val="28"/>
          <w:szCs w:val="28"/>
        </w:rPr>
        <w:t>糖尿病健康促進機構</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照護品質傑出獎</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2016年榮獲健保署糖尿病品質卓越獎</w:t>
      </w:r>
      <w:r>
        <w:rPr>
          <w:rFonts w:ascii="標楷體" w:eastAsia="標楷體" w:hAnsi="標楷體" w:cs="華康中黑體" w:hint="eastAsia"/>
          <w:sz w:val="28"/>
          <w:szCs w:val="28"/>
        </w:rPr>
        <w:t>、</w:t>
      </w:r>
      <w:r w:rsidR="001E3760" w:rsidRPr="001E3760">
        <w:rPr>
          <w:rFonts w:ascii="標楷體" w:eastAsia="標楷體" w:hAnsi="標楷體" w:cs="華康中黑體" w:hint="eastAsia"/>
          <w:sz w:val="28"/>
          <w:szCs w:val="28"/>
        </w:rPr>
        <w:t>健保署初期慢性腎臟病品質獎勵</w:t>
      </w:r>
      <w:r>
        <w:rPr>
          <w:rFonts w:ascii="標楷體" w:eastAsia="標楷體" w:hAnsi="標楷體" w:cs="華康中黑體" w:hint="eastAsia"/>
          <w:sz w:val="28"/>
          <w:szCs w:val="28"/>
        </w:rPr>
        <w:t>、</w:t>
      </w:r>
    </w:p>
    <w:p w:rsidR="0026335C" w:rsidRDefault="0026335C"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國民</w:t>
      </w:r>
      <w:proofErr w:type="gramStart"/>
      <w:r w:rsidR="001E3760" w:rsidRPr="001E3760">
        <w:rPr>
          <w:rFonts w:ascii="標楷體" w:eastAsia="標楷體" w:hAnsi="標楷體" w:cs="華康中黑體" w:hint="eastAsia"/>
          <w:sz w:val="28"/>
          <w:szCs w:val="28"/>
        </w:rPr>
        <w:t>健康署</w:t>
      </w:r>
      <w:proofErr w:type="gramEnd"/>
      <w:r w:rsidR="001E3760" w:rsidRPr="001E3760">
        <w:rPr>
          <w:rFonts w:ascii="標楷體" w:eastAsia="標楷體" w:hAnsi="標楷體" w:cs="華康中黑體" w:hint="eastAsia"/>
          <w:sz w:val="28"/>
          <w:szCs w:val="28"/>
        </w:rPr>
        <w:t>糖尿病健康促進機構照護品質傑出獎與創新特色獎</w:t>
      </w:r>
      <w:r>
        <w:rPr>
          <w:rFonts w:ascii="標楷體" w:eastAsia="標楷體" w:hAnsi="標楷體" w:cs="華康中黑體" w:hint="eastAsia"/>
          <w:sz w:val="28"/>
          <w:szCs w:val="28"/>
        </w:rPr>
        <w:t>及</w:t>
      </w:r>
      <w:r w:rsidR="001E3760" w:rsidRPr="001E3760">
        <w:rPr>
          <w:rFonts w:ascii="標楷體" w:eastAsia="標楷體" w:hAnsi="標楷體" w:cs="華康中黑體" w:hint="eastAsia"/>
          <w:sz w:val="28"/>
          <w:szCs w:val="28"/>
        </w:rPr>
        <w:t>全國第</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一家基層診所通過高齡友善健康照護機構認證</w:t>
      </w:r>
    </w:p>
    <w:p w:rsidR="001E3760" w:rsidRDefault="0026335C" w:rsidP="001E3760">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2017年榮獲健保署糖尿病品質卓越獎</w:t>
      </w:r>
      <w:r>
        <w:rPr>
          <w:rFonts w:ascii="標楷體" w:eastAsia="標楷體" w:hAnsi="標楷體" w:cs="華康中黑體" w:hint="eastAsia"/>
          <w:sz w:val="28"/>
          <w:szCs w:val="28"/>
        </w:rPr>
        <w:t>、</w:t>
      </w:r>
      <w:r w:rsidR="001E3760" w:rsidRPr="001E3760">
        <w:rPr>
          <w:rFonts w:ascii="標楷體" w:eastAsia="標楷體" w:hAnsi="標楷體" w:cs="華康中黑體" w:hint="eastAsia"/>
          <w:sz w:val="28"/>
          <w:szCs w:val="28"/>
        </w:rPr>
        <w:t>健保署初期慢性腎臟病品質獎勵</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及</w:t>
      </w:r>
      <w:r w:rsidR="001E3760" w:rsidRPr="001E3760">
        <w:rPr>
          <w:rFonts w:ascii="標楷體" w:eastAsia="標楷體" w:hAnsi="標楷體" w:cs="華康中黑體" w:hint="eastAsia"/>
          <w:sz w:val="28"/>
          <w:szCs w:val="28"/>
        </w:rPr>
        <w:t>國民</w:t>
      </w:r>
      <w:proofErr w:type="gramStart"/>
      <w:r w:rsidR="001E3760" w:rsidRPr="001E3760">
        <w:rPr>
          <w:rFonts w:ascii="標楷體" w:eastAsia="標楷體" w:hAnsi="標楷體" w:cs="華康中黑體" w:hint="eastAsia"/>
          <w:sz w:val="28"/>
          <w:szCs w:val="28"/>
        </w:rPr>
        <w:t>健康署</w:t>
      </w:r>
      <w:proofErr w:type="gramEnd"/>
      <w:r w:rsidR="001E3760" w:rsidRPr="001E3760">
        <w:rPr>
          <w:rFonts w:ascii="標楷體" w:eastAsia="標楷體" w:hAnsi="標楷體" w:cs="華康中黑體" w:hint="eastAsia"/>
          <w:sz w:val="28"/>
          <w:szCs w:val="28"/>
        </w:rPr>
        <w:t>糖尿病健康促進</w:t>
      </w:r>
      <w:proofErr w:type="gramStart"/>
      <w:r w:rsidR="001E3760" w:rsidRPr="001E3760">
        <w:rPr>
          <w:rFonts w:ascii="標楷體" w:eastAsia="標楷體" w:hAnsi="標楷體" w:cs="華康中黑體" w:hint="eastAsia"/>
          <w:sz w:val="28"/>
          <w:szCs w:val="28"/>
        </w:rPr>
        <w:t>機構機構</w:t>
      </w:r>
      <w:proofErr w:type="gramEnd"/>
      <w:r w:rsidR="001E3760" w:rsidRPr="001E3760">
        <w:rPr>
          <w:rFonts w:ascii="標楷體" w:eastAsia="標楷體" w:hAnsi="標楷體" w:cs="華康中黑體" w:hint="eastAsia"/>
          <w:sz w:val="28"/>
          <w:szCs w:val="28"/>
        </w:rPr>
        <w:t>收案成長與照護品質雙項特優獎</w:t>
      </w:r>
    </w:p>
    <w:p w:rsidR="001E3760" w:rsidRPr="001E3760" w:rsidRDefault="0026335C" w:rsidP="001E3760">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1E3760" w:rsidRPr="001E3760">
        <w:rPr>
          <w:rFonts w:ascii="標楷體" w:eastAsia="標楷體" w:hAnsi="標楷體" w:cs="華康中黑體" w:hint="eastAsia"/>
          <w:sz w:val="28"/>
          <w:szCs w:val="28"/>
        </w:rPr>
        <w:t>2018年榮獲健保署糖尿病品質卓越獎</w:t>
      </w:r>
      <w:r>
        <w:rPr>
          <w:rFonts w:ascii="標楷體" w:eastAsia="標楷體" w:hAnsi="標楷體" w:cs="華康中黑體" w:hint="eastAsia"/>
          <w:sz w:val="28"/>
          <w:szCs w:val="28"/>
        </w:rPr>
        <w:t>及</w:t>
      </w:r>
      <w:r w:rsidR="001E3760" w:rsidRPr="001E3760">
        <w:rPr>
          <w:rFonts w:ascii="標楷體" w:eastAsia="標楷體" w:hAnsi="標楷體" w:cs="華康中黑體" w:hint="eastAsia"/>
          <w:sz w:val="28"/>
          <w:szCs w:val="28"/>
        </w:rPr>
        <w:t>健保署初期慢性腎臟病品質獎勵</w:t>
      </w:r>
    </w:p>
    <w:p w:rsidR="003E0878" w:rsidRPr="003E0878" w:rsidRDefault="003E0878" w:rsidP="003E0878">
      <w:pPr>
        <w:spacing w:line="560" w:lineRule="exact"/>
        <w:rPr>
          <w:rFonts w:ascii="標楷體" w:eastAsia="標楷體" w:hAnsi="標楷體" w:cs="華康中黑體"/>
          <w:color w:val="3333FF"/>
          <w:sz w:val="36"/>
          <w:szCs w:val="36"/>
        </w:rPr>
      </w:pPr>
      <w:r w:rsidRPr="003E0878">
        <w:rPr>
          <w:rFonts w:ascii="標楷體" w:eastAsia="標楷體" w:hAnsi="標楷體" w:cs="華康中黑體"/>
          <w:color w:val="3333FF"/>
          <w:sz w:val="36"/>
          <w:szCs w:val="36"/>
        </w:rPr>
        <w:lastRenderedPageBreak/>
        <w:t xml:space="preserve">The role of </w:t>
      </w:r>
      <w:proofErr w:type="spellStart"/>
      <w:r w:rsidRPr="003E0878">
        <w:rPr>
          <w:rFonts w:ascii="標楷體" w:eastAsia="標楷體" w:hAnsi="標楷體" w:cs="華康中黑體"/>
          <w:color w:val="3333FF"/>
          <w:sz w:val="36"/>
          <w:szCs w:val="36"/>
        </w:rPr>
        <w:t>canagliflozin</w:t>
      </w:r>
      <w:proofErr w:type="spellEnd"/>
      <w:r w:rsidRPr="003E0878">
        <w:rPr>
          <w:rFonts w:ascii="標楷體" w:eastAsia="標楷體" w:hAnsi="標楷體" w:cs="華康中黑體"/>
          <w:color w:val="3333FF"/>
          <w:sz w:val="36"/>
          <w:szCs w:val="36"/>
        </w:rPr>
        <w:t xml:space="preserve"> in DKD treatment for cardiac protection</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There are many concomitant complications in diabetes mellitus (DM), including diabetic macro-, and micro-</w:t>
      </w:r>
      <w:proofErr w:type="spellStart"/>
      <w:r w:rsidRPr="003E0878">
        <w:rPr>
          <w:rFonts w:ascii="標楷體" w:eastAsia="標楷體" w:hAnsi="標楷體" w:cs="華康中黑體"/>
          <w:sz w:val="28"/>
          <w:szCs w:val="28"/>
        </w:rPr>
        <w:t>angiopathy</w:t>
      </w:r>
      <w:proofErr w:type="spellEnd"/>
      <w:r w:rsidRPr="003E0878">
        <w:rPr>
          <w:rFonts w:ascii="標楷體" w:eastAsia="標楷體" w:hAnsi="標楷體" w:cs="華康中黑體"/>
          <w:sz w:val="28"/>
          <w:szCs w:val="28"/>
        </w:rPr>
        <w:t xml:space="preserve"> of the kidney, hypertension, dyslipidemia, </w:t>
      </w:r>
      <w:proofErr w:type="spellStart"/>
      <w:r w:rsidRPr="003E0878">
        <w:rPr>
          <w:rFonts w:ascii="標楷體" w:eastAsia="標楷體" w:hAnsi="標楷體" w:cs="華康中黑體"/>
          <w:sz w:val="28"/>
          <w:szCs w:val="28"/>
        </w:rPr>
        <w:t>hyperuricemia</w:t>
      </w:r>
      <w:proofErr w:type="spellEnd"/>
      <w:r w:rsidRPr="003E0878">
        <w:rPr>
          <w:rFonts w:ascii="標楷體" w:eastAsia="標楷體" w:hAnsi="標楷體" w:cs="華康中黑體"/>
          <w:sz w:val="28"/>
          <w:szCs w:val="28"/>
        </w:rPr>
        <w:t>, and obesity; all of these, if coexisting, accelerate decline in renal function.</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 xml:space="preserve">The advent of the newer classes of </w:t>
      </w:r>
      <w:proofErr w:type="spellStart"/>
      <w:r w:rsidRPr="003E0878">
        <w:rPr>
          <w:rFonts w:ascii="標楷體" w:eastAsia="標楷體" w:hAnsi="標楷體" w:cs="華康中黑體"/>
          <w:sz w:val="28"/>
          <w:szCs w:val="28"/>
        </w:rPr>
        <w:t>antihyperglycemic</w:t>
      </w:r>
      <w:proofErr w:type="spellEnd"/>
      <w:r w:rsidRPr="003E0878">
        <w:rPr>
          <w:rFonts w:ascii="標楷體" w:eastAsia="標楷體" w:hAnsi="標楷體" w:cs="華康中黑體"/>
          <w:sz w:val="28"/>
          <w:szCs w:val="28"/>
        </w:rPr>
        <w:t xml:space="preserve"> agents, including SGLT2 (sodium glucose </w:t>
      </w:r>
      <w:proofErr w:type="spellStart"/>
      <w:r w:rsidRPr="003E0878">
        <w:rPr>
          <w:rFonts w:ascii="標楷體" w:eastAsia="標楷體" w:hAnsi="標楷體" w:cs="華康中黑體"/>
          <w:sz w:val="28"/>
          <w:szCs w:val="28"/>
        </w:rPr>
        <w:t>cotransporter</w:t>
      </w:r>
      <w:proofErr w:type="spellEnd"/>
      <w:r w:rsidRPr="003E0878">
        <w:rPr>
          <w:rFonts w:ascii="標楷體" w:eastAsia="標楷體" w:hAnsi="標楷體" w:cs="華康中黑體"/>
          <w:sz w:val="28"/>
          <w:szCs w:val="28"/>
        </w:rPr>
        <w:t xml:space="preserve"> 2) inhibitors and GLP-1 (glucagon-like peptide-1) receptor agonists, has changed the landscape of therapeutic options for patients with CKD with T2D, with demonstration of significant reductions in cardiovascular adverse events and progression to end-stage kidney disease.</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ESC guideline in 2019 indicated that SGLT2 inhibitors (</w:t>
      </w:r>
      <w:proofErr w:type="spellStart"/>
      <w:r w:rsidRPr="003E0878">
        <w:rPr>
          <w:rFonts w:ascii="標楷體" w:eastAsia="標楷體" w:hAnsi="標楷體" w:cs="華康中黑體"/>
          <w:sz w:val="28"/>
          <w:szCs w:val="28"/>
        </w:rPr>
        <w:t>empagliflozin</w:t>
      </w:r>
      <w:proofErr w:type="spellEnd"/>
      <w:r w:rsidRPr="003E0878">
        <w:rPr>
          <w:rFonts w:ascii="標楷體" w:eastAsia="標楷體" w:hAnsi="標楷體" w:cs="華康中黑體"/>
          <w:sz w:val="28"/>
          <w:szCs w:val="28"/>
        </w:rPr>
        <w:t xml:space="preserve">, </w:t>
      </w:r>
      <w:proofErr w:type="spellStart"/>
      <w:r w:rsidRPr="003E0878">
        <w:rPr>
          <w:rFonts w:ascii="標楷體" w:eastAsia="標楷體" w:hAnsi="標楷體" w:cs="華康中黑體"/>
          <w:sz w:val="28"/>
          <w:szCs w:val="28"/>
        </w:rPr>
        <w:t>canagliflozin</w:t>
      </w:r>
      <w:proofErr w:type="spellEnd"/>
      <w:r w:rsidRPr="003E0878">
        <w:rPr>
          <w:rFonts w:ascii="標楷體" w:eastAsia="標楷體" w:hAnsi="標楷體" w:cs="華康中黑體"/>
          <w:sz w:val="28"/>
          <w:szCs w:val="28"/>
        </w:rPr>
        <w:t xml:space="preserve">, and </w:t>
      </w:r>
      <w:proofErr w:type="spellStart"/>
      <w:r w:rsidRPr="003E0878">
        <w:rPr>
          <w:rFonts w:ascii="標楷體" w:eastAsia="標楷體" w:hAnsi="標楷體" w:cs="華康中黑體"/>
          <w:sz w:val="28"/>
          <w:szCs w:val="28"/>
        </w:rPr>
        <w:t>dapagliflozin</w:t>
      </w:r>
      <w:proofErr w:type="spellEnd"/>
      <w:r w:rsidRPr="003E0878">
        <w:rPr>
          <w:rFonts w:ascii="標楷體" w:eastAsia="標楷體" w:hAnsi="標楷體" w:cs="華康中黑體"/>
          <w:sz w:val="28"/>
          <w:szCs w:val="28"/>
        </w:rPr>
        <w:t>) are associated with a lower risk of HF hospitalization in patients with DM, and are recommended.</w:t>
      </w:r>
    </w:p>
    <w:p w:rsidR="003E0878" w:rsidRPr="003E0878" w:rsidRDefault="003E0878" w:rsidP="003E0878">
      <w:pPr>
        <w:spacing w:line="560" w:lineRule="exact"/>
        <w:rPr>
          <w:rFonts w:ascii="標楷體" w:eastAsia="標楷體" w:hAnsi="標楷體" w:cs="華康中黑體"/>
          <w:sz w:val="28"/>
          <w:szCs w:val="28"/>
        </w:rPr>
      </w:pPr>
    </w:p>
    <w:p w:rsidR="001E3760"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This lecture will discusses the potential mechanisms by which SGLT2 inhibitors exert their beneficial effects, including beneficial effects on cardiac energy metabolism, reducing inflammation, improving kidney function, and increasing erythropoiesis.</w:t>
      </w:r>
    </w:p>
    <w:p w:rsidR="001E3760" w:rsidRPr="006503A2" w:rsidRDefault="001E3760" w:rsidP="00111244">
      <w:pPr>
        <w:spacing w:line="560" w:lineRule="exact"/>
        <w:rPr>
          <w:rFonts w:ascii="標楷體" w:eastAsia="標楷體" w:hAnsi="標楷體" w:cs="華康中黑體"/>
          <w:color w:val="3333FF"/>
          <w:sz w:val="40"/>
          <w:szCs w:val="40"/>
        </w:rPr>
      </w:pPr>
    </w:p>
    <w:p w:rsidR="00111244" w:rsidRDefault="00111244" w:rsidP="00B166F5">
      <w:pPr>
        <w:spacing w:line="560" w:lineRule="exact"/>
        <w:rPr>
          <w:rFonts w:ascii="標楷體" w:eastAsia="標楷體" w:hAnsi="標楷體" w:cs="華康中黑體" w:hint="eastAsia"/>
          <w:sz w:val="36"/>
          <w:szCs w:val="36"/>
        </w:rPr>
      </w:pPr>
    </w:p>
    <w:p w:rsidR="002B7138" w:rsidRDefault="002B7138" w:rsidP="003E0878">
      <w:pPr>
        <w:spacing w:line="560" w:lineRule="exact"/>
        <w:rPr>
          <w:rFonts w:ascii="標楷體" w:eastAsia="標楷體" w:hAnsi="標楷體" w:cs="華康中黑體" w:hint="eastAsia"/>
          <w:color w:val="3333FF"/>
          <w:sz w:val="36"/>
          <w:szCs w:val="36"/>
        </w:rPr>
      </w:pPr>
    </w:p>
    <w:p w:rsidR="00CB3BE8" w:rsidRPr="00CB3BE8" w:rsidRDefault="00CB3BE8" w:rsidP="00CB3BE8">
      <w:pPr>
        <w:rPr>
          <w:rFonts w:ascii="標楷體" w:eastAsia="標楷體" w:hAnsi="標楷體" w:cs="華康中黑體" w:hint="eastAsia"/>
          <w:color w:val="3333FF"/>
          <w:sz w:val="36"/>
          <w:szCs w:val="36"/>
        </w:rPr>
      </w:pPr>
      <w:r w:rsidRPr="00CB3BE8">
        <w:rPr>
          <w:rFonts w:ascii="標楷體" w:eastAsia="標楷體" w:hAnsi="標楷體" w:cs="華康中黑體" w:hint="eastAsia"/>
          <w:color w:val="3333FF"/>
          <w:sz w:val="36"/>
          <w:szCs w:val="36"/>
        </w:rPr>
        <w:lastRenderedPageBreak/>
        <w:t>謝立偉醫師學經歷</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學歷：中國醫藥大學醫學系畢業</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現任：謝立偉診所院長</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經歷：中華民國內科專科醫師</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 xml:space="preserve">      中華民國內分泌暨新陳代謝專科醫師</w:t>
      </w:r>
    </w:p>
    <w:p w:rsidR="00CB3BE8" w:rsidRPr="00CB3BE8" w:rsidRDefault="00CB3BE8" w:rsidP="006E2FCC">
      <w:pPr>
        <w:rPr>
          <w:rFonts w:ascii="標楷體" w:eastAsia="標楷體" w:hAnsi="標楷體" w:cs="Times New Roman"/>
          <w:sz w:val="28"/>
          <w:szCs w:val="28"/>
        </w:rPr>
      </w:pPr>
      <w:r w:rsidRPr="00CB3BE8">
        <w:rPr>
          <w:rFonts w:ascii="標楷體" w:eastAsia="標楷體" w:hAnsi="標楷體" w:cs="Times New Roman"/>
          <w:sz w:val="28"/>
          <w:szCs w:val="28"/>
        </w:rPr>
        <w:t xml:space="preserve">      </w:t>
      </w:r>
      <w:r w:rsidRPr="00CB3BE8">
        <w:rPr>
          <w:rFonts w:ascii="標楷體" w:eastAsia="標楷體" w:hAnsi="標楷體" w:cs="Times New Roman" w:hint="eastAsia"/>
          <w:sz w:val="28"/>
          <w:szCs w:val="28"/>
        </w:rPr>
        <w:t>中華民國糖尿病衛教學會合格衞教師</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 xml:space="preserve">      秀傳</w:t>
      </w:r>
      <w:r w:rsidR="006E2FCC">
        <w:rPr>
          <w:rFonts w:ascii="標楷體" w:eastAsia="標楷體" w:hAnsi="標楷體" w:cs="Times New Roman" w:hint="eastAsia"/>
          <w:sz w:val="28"/>
          <w:szCs w:val="28"/>
        </w:rPr>
        <w:t>紀念</w:t>
      </w:r>
      <w:r w:rsidRPr="00CB3BE8">
        <w:rPr>
          <w:rFonts w:ascii="標楷體" w:eastAsia="標楷體" w:hAnsi="標楷體" w:cs="Times New Roman" w:hint="eastAsia"/>
          <w:sz w:val="28"/>
          <w:szCs w:val="28"/>
        </w:rPr>
        <w:t>醫院內科主治醫師</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 xml:space="preserve">      秀傳</w:t>
      </w:r>
      <w:r w:rsidR="006E2FCC">
        <w:rPr>
          <w:rFonts w:ascii="標楷體" w:eastAsia="標楷體" w:hAnsi="標楷體" w:cs="Times New Roman" w:hint="eastAsia"/>
          <w:sz w:val="28"/>
          <w:szCs w:val="28"/>
        </w:rPr>
        <w:t>紀念</w:t>
      </w:r>
      <w:r w:rsidRPr="00CB3BE8">
        <w:rPr>
          <w:rFonts w:ascii="標楷體" w:eastAsia="標楷體" w:hAnsi="標楷體" w:cs="Times New Roman" w:hint="eastAsia"/>
          <w:sz w:val="28"/>
          <w:szCs w:val="28"/>
        </w:rPr>
        <w:t>醫院高級健檢中心主任</w:t>
      </w:r>
    </w:p>
    <w:p w:rsidR="00CB3BE8" w:rsidRPr="00CB3BE8" w:rsidRDefault="00CB3BE8" w:rsidP="006E2FCC">
      <w:pPr>
        <w:rPr>
          <w:rFonts w:ascii="標楷體" w:eastAsia="標楷體" w:hAnsi="標楷體" w:cs="Times New Roman" w:hint="eastAsia"/>
          <w:sz w:val="28"/>
          <w:szCs w:val="28"/>
        </w:rPr>
      </w:pPr>
      <w:r w:rsidRPr="00CB3BE8">
        <w:rPr>
          <w:rFonts w:ascii="標楷體" w:eastAsia="標楷體" w:hAnsi="標楷體" w:cs="Times New Roman" w:hint="eastAsia"/>
          <w:sz w:val="28"/>
          <w:szCs w:val="28"/>
        </w:rPr>
        <w:t xml:space="preserve">      日本東京女子醫科大學糖尿病中心進修</w:t>
      </w:r>
    </w:p>
    <w:p w:rsidR="00CB3BE8" w:rsidRDefault="00CB3BE8"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6E2FCC" w:rsidRDefault="006E2FCC" w:rsidP="003E0878">
      <w:pPr>
        <w:spacing w:line="560" w:lineRule="exact"/>
        <w:rPr>
          <w:rFonts w:ascii="標楷體" w:eastAsia="標楷體" w:hAnsi="標楷體" w:cs="華康中黑體" w:hint="eastAsia"/>
          <w:color w:val="3333FF"/>
          <w:sz w:val="36"/>
          <w:szCs w:val="36"/>
        </w:rPr>
      </w:pPr>
    </w:p>
    <w:p w:rsidR="003E0878" w:rsidRPr="003E0878" w:rsidRDefault="003E0878" w:rsidP="003E0878">
      <w:pPr>
        <w:spacing w:line="560" w:lineRule="exact"/>
        <w:rPr>
          <w:rFonts w:ascii="標楷體" w:eastAsia="標楷體" w:hAnsi="標楷體" w:cs="華康中黑體"/>
          <w:color w:val="3333FF"/>
          <w:sz w:val="36"/>
          <w:szCs w:val="36"/>
        </w:rPr>
      </w:pPr>
      <w:r w:rsidRPr="003E0878">
        <w:rPr>
          <w:rFonts w:ascii="標楷體" w:eastAsia="標楷體" w:hAnsi="標楷體" w:cs="華康中黑體"/>
          <w:color w:val="3333FF"/>
          <w:sz w:val="36"/>
          <w:szCs w:val="36"/>
        </w:rPr>
        <w:lastRenderedPageBreak/>
        <w:t>Albuminuria is a risk marker of cardio-renal complication in diabetes</w:t>
      </w: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Type 2 diabetes mellitus (T2DM) and heart failure (HF) are highly prevalent diseases associated with substantial morbidity and mortality. In contrast to the risks of myocardial infarction (MI) and stroke, the risk of HF in patients with T2DM persists even when traditional cardiovascular risk factors, such as smoking, hypertension, and low-density lipoprotein cholesterol, are well controlled.</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Compared with people without diabetes, affected individuals are at increased risk for both cardiovascular events and kidney disease. Increased urinary albumin excretion (albuminuria) and reduced GFR both have been demonstrated to be risk factors for progressive kidney failure and cardiovascular disease.</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sz w:val="28"/>
          <w:szCs w:val="28"/>
        </w:rPr>
      </w:pPr>
      <w:r w:rsidRPr="003E0878">
        <w:rPr>
          <w:rFonts w:ascii="標楷體" w:eastAsia="標楷體" w:hAnsi="標楷體" w:cs="華康中黑體"/>
          <w:sz w:val="28"/>
          <w:szCs w:val="28"/>
        </w:rPr>
        <w:t xml:space="preserve">Recently, data from several studies have established </w:t>
      </w:r>
      <w:proofErr w:type="spellStart"/>
      <w:r w:rsidRPr="003E0878">
        <w:rPr>
          <w:rFonts w:ascii="標楷體" w:eastAsia="標楷體" w:hAnsi="標楷體" w:cs="華康中黑體"/>
          <w:sz w:val="28"/>
          <w:szCs w:val="28"/>
        </w:rPr>
        <w:t>microalbuminuria</w:t>
      </w:r>
      <w:proofErr w:type="spellEnd"/>
      <w:r w:rsidRPr="003E0878">
        <w:rPr>
          <w:rFonts w:ascii="標楷體" w:eastAsia="標楷體" w:hAnsi="標楷體" w:cs="華康中黑體"/>
          <w:sz w:val="28"/>
          <w:szCs w:val="28"/>
        </w:rPr>
        <w:t xml:space="preserve"> (MA), or dipstick-negative albuminuria, as another CV risk factor. Albuminuria usually precedes the impairment of kidney function and accelerates </w:t>
      </w:r>
      <w:proofErr w:type="spellStart"/>
      <w:r w:rsidRPr="003E0878">
        <w:rPr>
          <w:rFonts w:ascii="標楷體" w:eastAsia="標楷體" w:hAnsi="標楷體" w:cs="華康中黑體"/>
          <w:sz w:val="28"/>
          <w:szCs w:val="28"/>
        </w:rPr>
        <w:t>eGFR</w:t>
      </w:r>
      <w:proofErr w:type="spellEnd"/>
      <w:r w:rsidRPr="003E0878">
        <w:rPr>
          <w:rFonts w:ascii="標楷體" w:eastAsia="標楷體" w:hAnsi="標楷體" w:cs="華康中黑體"/>
          <w:sz w:val="28"/>
          <w:szCs w:val="28"/>
        </w:rPr>
        <w:t xml:space="preserve"> decline. Worsening albuminuria and reduced </w:t>
      </w:r>
      <w:proofErr w:type="spellStart"/>
      <w:r w:rsidRPr="003E0878">
        <w:rPr>
          <w:rFonts w:ascii="標楷體" w:eastAsia="標楷體" w:hAnsi="標楷體" w:cs="華康中黑體"/>
          <w:sz w:val="28"/>
          <w:szCs w:val="28"/>
        </w:rPr>
        <w:t>eGFR</w:t>
      </w:r>
      <w:proofErr w:type="spellEnd"/>
      <w:r w:rsidRPr="003E0878">
        <w:rPr>
          <w:rFonts w:ascii="標楷體" w:eastAsia="標楷體" w:hAnsi="標楷體" w:cs="華康中黑體"/>
          <w:sz w:val="28"/>
          <w:szCs w:val="28"/>
        </w:rPr>
        <w:t>—both independently and together—are associated with higher risk of major cardiovascular events, kidney failure, and all-cause mortality. Conversely, a 30% reduction in albuminuria is associated with 1% absolute risk reduction of kidney failure in 10 years.</w:t>
      </w:r>
    </w:p>
    <w:p w:rsidR="003E0878" w:rsidRPr="003E0878" w:rsidRDefault="003E0878" w:rsidP="003E0878">
      <w:pPr>
        <w:spacing w:line="560" w:lineRule="exact"/>
        <w:rPr>
          <w:rFonts w:ascii="標楷體" w:eastAsia="標楷體" w:hAnsi="標楷體" w:cs="華康中黑體"/>
          <w:sz w:val="28"/>
          <w:szCs w:val="28"/>
        </w:rPr>
      </w:pPr>
    </w:p>
    <w:p w:rsidR="003E0878" w:rsidRPr="003E0878" w:rsidRDefault="003E0878" w:rsidP="003E0878">
      <w:pPr>
        <w:spacing w:line="560" w:lineRule="exact"/>
        <w:rPr>
          <w:rFonts w:ascii="標楷體" w:eastAsia="標楷體" w:hAnsi="標楷體" w:cs="華康中黑體" w:hint="eastAsia"/>
          <w:sz w:val="28"/>
          <w:szCs w:val="28"/>
        </w:rPr>
      </w:pPr>
      <w:r w:rsidRPr="003E0878">
        <w:rPr>
          <w:rFonts w:ascii="標楷體" w:eastAsia="標楷體" w:hAnsi="標楷體" w:cs="華康中黑體"/>
          <w:sz w:val="28"/>
          <w:szCs w:val="28"/>
        </w:rPr>
        <w:t>This lecture will review updated data and try to propose the optimal treatment to reduce cardio-renal risk for diabetic patient.</w:t>
      </w:r>
    </w:p>
    <w:p w:rsidR="007C6F6C" w:rsidRPr="00BB1BDC" w:rsidRDefault="007C6F6C" w:rsidP="007C6F6C">
      <w:pPr>
        <w:spacing w:line="560" w:lineRule="exact"/>
        <w:rPr>
          <w:rFonts w:ascii="標楷體" w:eastAsia="標楷體" w:hAnsi="標楷體" w:cs="華康中黑體" w:hint="eastAsia"/>
          <w:color w:val="3333FF"/>
          <w:sz w:val="36"/>
          <w:szCs w:val="36"/>
        </w:rPr>
      </w:pPr>
      <w:r w:rsidRPr="00BB1BDC">
        <w:rPr>
          <w:rFonts w:ascii="標楷體" w:eastAsia="標楷體" w:hAnsi="標楷體" w:cs="華康中黑體" w:hint="eastAsia"/>
          <w:color w:val="3333FF"/>
          <w:sz w:val="36"/>
          <w:szCs w:val="36"/>
        </w:rPr>
        <w:lastRenderedPageBreak/>
        <w:t>吳孟哲主任</w:t>
      </w:r>
      <w:r w:rsidR="00BB1BDC" w:rsidRPr="00BB1BDC">
        <w:rPr>
          <w:rFonts w:ascii="標楷體" w:eastAsia="標楷體" w:hAnsi="標楷體" w:cs="華康中黑體" w:hint="eastAsia"/>
          <w:color w:val="3333FF"/>
          <w:sz w:val="36"/>
          <w:szCs w:val="36"/>
        </w:rPr>
        <w:t>學經歷</w:t>
      </w:r>
    </w:p>
    <w:p w:rsidR="00BB1BDC" w:rsidRP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學歷：</w:t>
      </w:r>
      <w:r w:rsidRPr="00BB1BDC">
        <w:rPr>
          <w:rFonts w:ascii="標楷體" w:eastAsia="標楷體" w:hAnsi="標楷體" w:cs="華康中黑體" w:hint="eastAsia"/>
          <w:sz w:val="28"/>
          <w:szCs w:val="28"/>
        </w:rPr>
        <w:t>中山醫學大學醫學研究所博士</w:t>
      </w:r>
    </w:p>
    <w:p w:rsid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BB1BDC">
        <w:rPr>
          <w:rFonts w:ascii="標楷體" w:eastAsia="標楷體" w:hAnsi="標楷體" w:cs="華康中黑體" w:hint="eastAsia"/>
          <w:sz w:val="28"/>
          <w:szCs w:val="28"/>
        </w:rPr>
        <w:t>中山醫學大學醫學系</w:t>
      </w:r>
    </w:p>
    <w:p w:rsid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現任：</w:t>
      </w:r>
      <w:r w:rsidRPr="00BB1BDC">
        <w:rPr>
          <w:rFonts w:ascii="標楷體" w:eastAsia="標楷體" w:hAnsi="標楷體" w:cs="華康中黑體" w:hint="eastAsia"/>
          <w:sz w:val="28"/>
          <w:szCs w:val="28"/>
        </w:rPr>
        <w:t>台中榮</w:t>
      </w:r>
      <w:r>
        <w:rPr>
          <w:rFonts w:ascii="標楷體" w:eastAsia="標楷體" w:hAnsi="標楷體" w:cs="華康中黑體" w:hint="eastAsia"/>
          <w:sz w:val="28"/>
          <w:szCs w:val="28"/>
        </w:rPr>
        <w:t>民</w:t>
      </w:r>
      <w:r w:rsidRPr="00BB1BDC">
        <w:rPr>
          <w:rFonts w:ascii="標楷體" w:eastAsia="標楷體" w:hAnsi="標楷體" w:cs="華康中黑體" w:hint="eastAsia"/>
          <w:sz w:val="28"/>
          <w:szCs w:val="28"/>
        </w:rPr>
        <w:t>總</w:t>
      </w:r>
      <w:r>
        <w:rPr>
          <w:rFonts w:ascii="標楷體" w:eastAsia="標楷體" w:hAnsi="標楷體" w:cs="華康中黑體" w:hint="eastAsia"/>
          <w:sz w:val="28"/>
          <w:szCs w:val="28"/>
        </w:rPr>
        <w:t>醫院</w:t>
      </w:r>
      <w:r w:rsidRPr="00BB1BDC">
        <w:rPr>
          <w:rFonts w:ascii="標楷體" w:eastAsia="標楷體" w:hAnsi="標楷體" w:cs="華康中黑體" w:hint="eastAsia"/>
          <w:sz w:val="28"/>
          <w:szCs w:val="28"/>
        </w:rPr>
        <w:t>兒童肝膽胃腸科主任</w:t>
      </w:r>
    </w:p>
    <w:p w:rsidR="00BB1BDC" w:rsidRPr="00BB1BDC" w:rsidRDefault="00BB1BDC" w:rsidP="002B7138">
      <w:pPr>
        <w:spacing w:line="480" w:lineRule="exact"/>
        <w:rPr>
          <w:rFonts w:ascii="標楷體" w:eastAsia="標楷體" w:hAnsi="標楷體" w:cs="華康中黑體" w:hint="eastAsia"/>
          <w:sz w:val="28"/>
          <w:szCs w:val="28"/>
        </w:rPr>
      </w:pPr>
      <w:r w:rsidRPr="00BB1BDC">
        <w:rPr>
          <w:rFonts w:ascii="標楷體" w:eastAsia="標楷體" w:hAnsi="標楷體" w:cs="華康中黑體" w:hint="eastAsia"/>
          <w:sz w:val="28"/>
          <w:szCs w:val="28"/>
        </w:rPr>
        <w:t>經歷</w:t>
      </w:r>
      <w:r>
        <w:rPr>
          <w:rFonts w:ascii="標楷體" w:eastAsia="標楷體" w:hAnsi="標楷體" w:cs="華康中黑體" w:hint="eastAsia"/>
          <w:sz w:val="28"/>
          <w:szCs w:val="28"/>
        </w:rPr>
        <w:t>：</w:t>
      </w:r>
      <w:r w:rsidRPr="00BB1BDC">
        <w:rPr>
          <w:rFonts w:ascii="標楷體" w:eastAsia="標楷體" w:hAnsi="標楷體" w:cs="華康中黑體" w:hint="eastAsia"/>
          <w:sz w:val="28"/>
          <w:szCs w:val="28"/>
        </w:rPr>
        <w:t>台中榮總兒童</w:t>
      </w:r>
      <w:proofErr w:type="gramStart"/>
      <w:r w:rsidRPr="00BB1BDC">
        <w:rPr>
          <w:rFonts w:ascii="標楷體" w:eastAsia="標楷體" w:hAnsi="標楷體" w:cs="華康中黑體" w:hint="eastAsia"/>
          <w:sz w:val="28"/>
          <w:szCs w:val="28"/>
        </w:rPr>
        <w:t>醫</w:t>
      </w:r>
      <w:proofErr w:type="gramEnd"/>
      <w:r w:rsidRPr="00BB1BDC">
        <w:rPr>
          <w:rFonts w:ascii="標楷體" w:eastAsia="標楷體" w:hAnsi="標楷體" w:cs="華康中黑體" w:hint="eastAsia"/>
          <w:sz w:val="28"/>
          <w:szCs w:val="28"/>
        </w:rPr>
        <w:t>學部主治醫師</w:t>
      </w:r>
    </w:p>
    <w:p w:rsidR="00BB1BDC" w:rsidRP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BB1BDC">
        <w:rPr>
          <w:rFonts w:ascii="標楷體" w:eastAsia="標楷體" w:hAnsi="標楷體" w:cs="華康中黑體" w:hint="eastAsia"/>
          <w:sz w:val="28"/>
          <w:szCs w:val="28"/>
        </w:rPr>
        <w:t>台中榮總兒童腸胃科研究員</w:t>
      </w:r>
    </w:p>
    <w:p w:rsidR="00BB1BDC" w:rsidRP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BB1BDC">
        <w:rPr>
          <w:rFonts w:ascii="標楷體" w:eastAsia="標楷體" w:hAnsi="標楷體" w:cs="華康中黑體" w:hint="eastAsia"/>
          <w:sz w:val="28"/>
          <w:szCs w:val="28"/>
        </w:rPr>
        <w:t>台中榮總兒童血液腫瘤科研究員</w:t>
      </w:r>
    </w:p>
    <w:p w:rsidR="00BB1BDC"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BB1BDC">
        <w:rPr>
          <w:rFonts w:ascii="標楷體" w:eastAsia="標楷體" w:hAnsi="標楷體" w:cs="華康中黑體" w:hint="eastAsia"/>
          <w:sz w:val="28"/>
          <w:szCs w:val="28"/>
        </w:rPr>
        <w:t>台中榮總兒童</w:t>
      </w:r>
      <w:proofErr w:type="gramStart"/>
      <w:r w:rsidRPr="00BB1BDC">
        <w:rPr>
          <w:rFonts w:ascii="標楷體" w:eastAsia="標楷體" w:hAnsi="標楷體" w:cs="華康中黑體" w:hint="eastAsia"/>
          <w:sz w:val="28"/>
          <w:szCs w:val="28"/>
        </w:rPr>
        <w:t>醫</w:t>
      </w:r>
      <w:proofErr w:type="gramEnd"/>
      <w:r w:rsidRPr="00BB1BDC">
        <w:rPr>
          <w:rFonts w:ascii="標楷體" w:eastAsia="標楷體" w:hAnsi="標楷體" w:cs="華康中黑體" w:hint="eastAsia"/>
          <w:sz w:val="28"/>
          <w:szCs w:val="28"/>
        </w:rPr>
        <w:t>學部住院醫師、總醫師</w:t>
      </w:r>
    </w:p>
    <w:p w:rsidR="002B7138" w:rsidRPr="002B7138" w:rsidRDefault="00BB1BDC"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專業經驗：</w:t>
      </w:r>
      <w:r w:rsidR="002B7138" w:rsidRPr="002B7138">
        <w:rPr>
          <w:rFonts w:ascii="標楷體" w:eastAsia="標楷體" w:hAnsi="標楷體" w:cs="華康中黑體" w:hint="eastAsia"/>
          <w:sz w:val="28"/>
          <w:szCs w:val="28"/>
        </w:rPr>
        <w:t>台中榮總兒童</w:t>
      </w:r>
      <w:proofErr w:type="gramStart"/>
      <w:r w:rsidR="002B7138" w:rsidRPr="002B7138">
        <w:rPr>
          <w:rFonts w:ascii="標楷體" w:eastAsia="標楷體" w:hAnsi="標楷體" w:cs="華康中黑體" w:hint="eastAsia"/>
          <w:sz w:val="28"/>
          <w:szCs w:val="28"/>
        </w:rPr>
        <w:t>膽</w:t>
      </w:r>
      <w:proofErr w:type="gramEnd"/>
      <w:r w:rsidR="002B7138" w:rsidRPr="002B7138">
        <w:rPr>
          <w:rFonts w:ascii="標楷體" w:eastAsia="標楷體" w:hAnsi="標楷體" w:cs="華康中黑體" w:hint="eastAsia"/>
          <w:sz w:val="28"/>
          <w:szCs w:val="28"/>
        </w:rPr>
        <w:t>胃腸科科主任</w:t>
      </w:r>
    </w:p>
    <w:p w:rsidR="002B7138" w:rsidRP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秀傳醫療體系彰化院區小兒部主任</w:t>
      </w:r>
    </w:p>
    <w:p w:rsidR="00BB1BDC"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proofErr w:type="gramStart"/>
      <w:r w:rsidRPr="002B7138">
        <w:rPr>
          <w:rFonts w:ascii="標楷體" w:eastAsia="標楷體" w:hAnsi="標楷體" w:cs="華康中黑體" w:hint="eastAsia"/>
          <w:sz w:val="28"/>
          <w:szCs w:val="28"/>
        </w:rPr>
        <w:t>彰濱秀傳</w:t>
      </w:r>
      <w:proofErr w:type="gramEnd"/>
      <w:r w:rsidRPr="002B7138">
        <w:rPr>
          <w:rFonts w:ascii="標楷體" w:eastAsia="標楷體" w:hAnsi="標楷體" w:cs="華康中黑體" w:hint="eastAsia"/>
          <w:sz w:val="28"/>
          <w:szCs w:val="28"/>
        </w:rPr>
        <w:t>紀念醫院小兒部主任</w:t>
      </w:r>
    </w:p>
    <w:p w:rsidR="002B7138" w:rsidRPr="002B7138" w:rsidRDefault="002B7138" w:rsidP="002B7138">
      <w:pPr>
        <w:spacing w:line="480" w:lineRule="exact"/>
        <w:rPr>
          <w:rFonts w:ascii="標楷體" w:eastAsia="標楷體" w:hAnsi="標楷體" w:cs="華康中黑體" w:hint="eastAsia"/>
          <w:sz w:val="28"/>
          <w:szCs w:val="28"/>
        </w:rPr>
      </w:pPr>
      <w:r w:rsidRPr="002B7138">
        <w:rPr>
          <w:rFonts w:ascii="標楷體" w:eastAsia="標楷體" w:hAnsi="標楷體" w:cs="華康中黑體" w:hint="eastAsia"/>
          <w:sz w:val="28"/>
          <w:szCs w:val="28"/>
        </w:rPr>
        <w:t>專科證照</w:t>
      </w:r>
      <w:r>
        <w:rPr>
          <w:rFonts w:ascii="標楷體" w:eastAsia="標楷體" w:hAnsi="標楷體" w:cs="華康中黑體" w:hint="eastAsia"/>
          <w:sz w:val="28"/>
          <w:szCs w:val="28"/>
        </w:rPr>
        <w:t>：</w:t>
      </w:r>
      <w:r w:rsidRPr="002B7138">
        <w:rPr>
          <w:rFonts w:ascii="標楷體" w:eastAsia="標楷體" w:hAnsi="標楷體" w:cs="華康中黑體" w:hint="eastAsia"/>
          <w:sz w:val="28"/>
          <w:szCs w:val="28"/>
        </w:rPr>
        <w:t>中華民國小兒科專科醫師</w:t>
      </w:r>
    </w:p>
    <w:p w:rsidR="002B7138" w:rsidRP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中華民國兒童消化學專科醫師</w:t>
      </w:r>
    </w:p>
    <w:p w:rsidR="002B7138" w:rsidRP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中華民國兒科超音波專業醫師</w:t>
      </w:r>
    </w:p>
    <w:p w:rsidR="002B7138" w:rsidRP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中華民國血液病學會專科醫師</w:t>
      </w:r>
    </w:p>
    <w:p w:rsid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台灣</w:t>
      </w:r>
      <w:proofErr w:type="gramStart"/>
      <w:r w:rsidRPr="002B7138">
        <w:rPr>
          <w:rFonts w:ascii="標楷體" w:eastAsia="標楷體" w:hAnsi="標楷體" w:cs="華康中黑體" w:hint="eastAsia"/>
          <w:sz w:val="28"/>
          <w:szCs w:val="28"/>
        </w:rPr>
        <w:t>靜脈暨腸道</w:t>
      </w:r>
      <w:proofErr w:type="gramEnd"/>
      <w:r w:rsidRPr="002B7138">
        <w:rPr>
          <w:rFonts w:ascii="標楷體" w:eastAsia="標楷體" w:hAnsi="標楷體" w:cs="華康中黑體" w:hint="eastAsia"/>
          <w:sz w:val="28"/>
          <w:szCs w:val="28"/>
        </w:rPr>
        <w:t>營養醫學會專科醫師</w:t>
      </w:r>
    </w:p>
    <w:p w:rsidR="002B7138" w:rsidRDefault="00BB1BDC" w:rsidP="002B7138">
      <w:pPr>
        <w:spacing w:line="480" w:lineRule="exact"/>
        <w:rPr>
          <w:rFonts w:ascii="標楷體" w:eastAsia="標楷體" w:hAnsi="標楷體" w:cs="華康中黑體" w:hint="eastAsia"/>
          <w:sz w:val="28"/>
          <w:szCs w:val="28"/>
        </w:rPr>
      </w:pPr>
      <w:r w:rsidRPr="00BB1BDC">
        <w:rPr>
          <w:rFonts w:ascii="標楷體" w:eastAsia="標楷體" w:hAnsi="標楷體" w:cs="華康中黑體" w:hint="eastAsia"/>
          <w:sz w:val="28"/>
          <w:szCs w:val="28"/>
        </w:rPr>
        <w:t>主治專長</w:t>
      </w:r>
      <w:r w:rsidR="002B7138">
        <w:rPr>
          <w:rFonts w:ascii="標楷體" w:eastAsia="標楷體" w:hAnsi="標楷體" w:cs="華康中黑體" w:hint="eastAsia"/>
          <w:sz w:val="28"/>
          <w:szCs w:val="28"/>
        </w:rPr>
        <w:t>：</w:t>
      </w:r>
      <w:r w:rsidR="002B7138" w:rsidRPr="002B7138">
        <w:rPr>
          <w:rFonts w:ascii="標楷體" w:eastAsia="標楷體" w:hAnsi="標楷體" w:cs="華康中黑體" w:hint="eastAsia"/>
          <w:sz w:val="28"/>
          <w:szCs w:val="28"/>
        </w:rPr>
        <w:t>兒童肝膽腸胃疾病、兒童</w:t>
      </w:r>
      <w:proofErr w:type="gramStart"/>
      <w:r w:rsidR="002B7138" w:rsidRPr="002B7138">
        <w:rPr>
          <w:rFonts w:ascii="標楷體" w:eastAsia="標楷體" w:hAnsi="標楷體" w:cs="華康中黑體" w:hint="eastAsia"/>
          <w:sz w:val="28"/>
          <w:szCs w:val="28"/>
        </w:rPr>
        <w:t>發炎性腸道</w:t>
      </w:r>
      <w:proofErr w:type="gramEnd"/>
      <w:r w:rsidR="002B7138" w:rsidRPr="002B7138">
        <w:rPr>
          <w:rFonts w:ascii="標楷體" w:eastAsia="標楷體" w:hAnsi="標楷體" w:cs="華康中黑體" w:hint="eastAsia"/>
          <w:sz w:val="28"/>
          <w:szCs w:val="28"/>
        </w:rPr>
        <w:t>疾病(兒童克隆氏症、潰瘍性</w:t>
      </w:r>
    </w:p>
    <w:p w:rsidR="002B7138"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結腸炎等)、兒童功能性腸胃疾病、兒童血液腫瘤疾病、一般兒童醫學</w:t>
      </w:r>
    </w:p>
    <w:p w:rsidR="00BB1BDC" w:rsidRPr="00BB1BDC" w:rsidRDefault="002B7138" w:rsidP="002B7138">
      <w:pPr>
        <w:spacing w:line="48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2B7138">
        <w:rPr>
          <w:rFonts w:ascii="標楷體" w:eastAsia="標楷體" w:hAnsi="標楷體" w:cs="華康中黑體" w:hint="eastAsia"/>
          <w:sz w:val="28"/>
          <w:szCs w:val="28"/>
        </w:rPr>
        <w:t>、疫苗注射、兒童健檢及預防保健</w:t>
      </w:r>
    </w:p>
    <w:p w:rsidR="00BB1BDC" w:rsidRDefault="00BB1BDC" w:rsidP="002B7138">
      <w:pPr>
        <w:spacing w:line="480" w:lineRule="exact"/>
        <w:rPr>
          <w:rFonts w:ascii="標楷體" w:eastAsia="標楷體" w:hAnsi="標楷體" w:cs="華康中黑體" w:hint="eastAsia"/>
          <w:sz w:val="28"/>
          <w:szCs w:val="28"/>
        </w:rPr>
      </w:pPr>
      <w:r w:rsidRPr="00BB1BDC">
        <w:rPr>
          <w:rFonts w:ascii="標楷體" w:eastAsia="標楷體" w:hAnsi="標楷體" w:cs="華康中黑體" w:hint="eastAsia"/>
          <w:sz w:val="28"/>
          <w:szCs w:val="28"/>
        </w:rPr>
        <w:t>研究興趣</w:t>
      </w:r>
      <w:r w:rsidR="002B7138">
        <w:rPr>
          <w:rFonts w:ascii="標楷體" w:eastAsia="標楷體" w:hAnsi="標楷體" w:cs="華康中黑體" w:hint="eastAsia"/>
          <w:sz w:val="28"/>
          <w:szCs w:val="28"/>
        </w:rPr>
        <w:t>：</w:t>
      </w:r>
      <w:r w:rsidR="002B7138" w:rsidRPr="002B7138">
        <w:rPr>
          <w:rFonts w:ascii="標楷體" w:eastAsia="標楷體" w:hAnsi="標楷體" w:cs="華康中黑體" w:hint="eastAsia"/>
          <w:sz w:val="28"/>
          <w:szCs w:val="28"/>
        </w:rPr>
        <w:t>小兒科學、兒童肝膽腸胃學、</w:t>
      </w:r>
      <w:r w:rsidRPr="00BB1BDC">
        <w:rPr>
          <w:rFonts w:ascii="標楷體" w:eastAsia="標楷體" w:hAnsi="標楷體" w:cs="華康中黑體" w:hint="eastAsia"/>
          <w:sz w:val="28"/>
          <w:szCs w:val="28"/>
        </w:rPr>
        <w:t>兒童血液病學、流行病學</w:t>
      </w:r>
    </w:p>
    <w:p w:rsidR="00BB1BDC" w:rsidRDefault="00BB1BDC" w:rsidP="007C6F6C">
      <w:pPr>
        <w:spacing w:line="560" w:lineRule="exact"/>
        <w:rPr>
          <w:rFonts w:ascii="標楷體" w:eastAsia="標楷體" w:hAnsi="標楷體" w:cs="華康中黑體" w:hint="eastAsia"/>
          <w:sz w:val="28"/>
          <w:szCs w:val="28"/>
        </w:rPr>
      </w:pPr>
    </w:p>
    <w:p w:rsidR="002B7138" w:rsidRDefault="002B7138" w:rsidP="007C6F6C">
      <w:pPr>
        <w:spacing w:line="560" w:lineRule="exact"/>
        <w:rPr>
          <w:rFonts w:ascii="標楷體" w:eastAsia="標楷體" w:hAnsi="標楷體" w:cs="華康中黑體" w:hint="eastAsia"/>
          <w:sz w:val="28"/>
          <w:szCs w:val="28"/>
        </w:rPr>
      </w:pPr>
    </w:p>
    <w:p w:rsidR="007C6F6C" w:rsidRPr="007C6F6C" w:rsidRDefault="007C6F6C" w:rsidP="007C6F6C">
      <w:pPr>
        <w:spacing w:line="560" w:lineRule="exact"/>
        <w:rPr>
          <w:rFonts w:ascii="標楷體" w:eastAsia="標楷體" w:hAnsi="標楷體" w:cs="華康中黑體"/>
          <w:sz w:val="28"/>
          <w:szCs w:val="28"/>
        </w:rPr>
      </w:pPr>
      <w:r w:rsidRPr="0026335C">
        <w:rPr>
          <w:rFonts w:ascii="標楷體" w:eastAsia="標楷體" w:hAnsi="標楷體" w:cs="華康中黑體" w:hint="eastAsia"/>
          <w:color w:val="3333FF"/>
          <w:sz w:val="36"/>
          <w:szCs w:val="36"/>
        </w:rPr>
        <w:t>幼兒肥胖對未來健康的影響</w:t>
      </w:r>
    </w:p>
    <w:p w:rsidR="007C6F6C" w:rsidRPr="007C6F6C" w:rsidRDefault="002B7138" w:rsidP="006E2FCC">
      <w:pPr>
        <w:spacing w:line="6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007C6F6C" w:rsidRPr="007C6F6C">
        <w:rPr>
          <w:rFonts w:ascii="標楷體" w:eastAsia="標楷體" w:hAnsi="標楷體" w:cs="華康中黑體" w:hint="eastAsia"/>
          <w:sz w:val="28"/>
          <w:szCs w:val="28"/>
        </w:rPr>
        <w:t>兒童肥胖的定義在世界上各國標準不同，以美國疾病管制局訂定的標準，2-19歲兒童與青少年BMI（身體質量指數）大於等於同齡兒童第95百分位即為過重；根據教育部提供的健康檢查數據顯示，台灣平均每四位兒童就有一位有過重的情形，兒童肥胖的問題對於孩童在健康與發育層面影響甚大，最遠甚至可能影響到日後成人健康問題，不容小覷。</w:t>
      </w:r>
    </w:p>
    <w:p w:rsidR="009648B2" w:rsidRPr="004D402D" w:rsidRDefault="009648B2" w:rsidP="007C6F6C">
      <w:pPr>
        <w:spacing w:line="560" w:lineRule="exact"/>
        <w:rPr>
          <w:rFonts w:ascii="標楷體" w:eastAsia="標楷體" w:hAnsi="標楷體" w:cs="華康中黑體" w:hint="eastAsia"/>
          <w:color w:val="3333FF"/>
          <w:sz w:val="36"/>
          <w:szCs w:val="36"/>
        </w:rPr>
      </w:pPr>
      <w:r w:rsidRPr="004D402D">
        <w:rPr>
          <w:rFonts w:ascii="標楷體" w:eastAsia="標楷體" w:hAnsi="標楷體" w:cs="華康中黑體" w:hint="eastAsia"/>
          <w:color w:val="3333FF"/>
          <w:sz w:val="36"/>
          <w:szCs w:val="36"/>
        </w:rPr>
        <w:lastRenderedPageBreak/>
        <w:t>蕭建洲主任</w:t>
      </w:r>
      <w:r w:rsidR="004D402D">
        <w:rPr>
          <w:rFonts w:ascii="標楷體" w:eastAsia="標楷體" w:hAnsi="標楷體" w:cs="華康中黑體" w:hint="eastAsia"/>
          <w:color w:val="3333FF"/>
          <w:sz w:val="36"/>
          <w:szCs w:val="36"/>
        </w:rPr>
        <w:t>學經歷</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學歷：高雄醫學院醫學系畢業</w:t>
      </w:r>
      <w:r w:rsidRPr="004D402D">
        <w:rPr>
          <w:rFonts w:ascii="標楷體" w:eastAsia="標楷體" w:hAnsi="標楷體" w:cs="華康中黑體" w:hint="eastAsia"/>
          <w:sz w:val="28"/>
          <w:szCs w:val="28"/>
        </w:rPr>
        <w:t xml:space="preserve">1990~1997 </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中山醫學大學臨床醫學研究所 醫學博士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美國哥倫比亞大學附設紐約兒童醫院研究員</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台灣兒科 專科醫師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台灣新生兒科 專科醫師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台灣兒童重症 專科醫師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台灣</w:t>
      </w:r>
      <w:proofErr w:type="gramStart"/>
      <w:r w:rsidRPr="004D402D">
        <w:rPr>
          <w:rFonts w:ascii="標楷體" w:eastAsia="標楷體" w:hAnsi="標楷體" w:cs="華康中黑體" w:hint="eastAsia"/>
          <w:sz w:val="28"/>
          <w:szCs w:val="28"/>
        </w:rPr>
        <w:t>靜脈暨腸道</w:t>
      </w:r>
      <w:proofErr w:type="gramEnd"/>
      <w:r w:rsidRPr="004D402D">
        <w:rPr>
          <w:rFonts w:ascii="標楷體" w:eastAsia="標楷體" w:hAnsi="標楷體" w:cs="華康中黑體" w:hint="eastAsia"/>
          <w:sz w:val="28"/>
          <w:szCs w:val="28"/>
        </w:rPr>
        <w:t>營養醫學會 專科醫師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經歷：1997~2000 彰基小兒科住院醫師，總醫師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2001~2002 彰基新生兒科臨床研究醫師</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2003~2004 美國哥倫比亞大學附設紐約兒童醫院研究員</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2004~  彰基新生兒科主治醫師</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2007  日本大阪母子保健醫院見習</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2008~ 彰基嬰幼兒中重度病房主任, 彰基兒童健檢中心主任</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2010~ 彰基新生兒科主任</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2011,2015 彰基優良臨床教師</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2016~2017彰化基督教兒童醫院兒科部部主任</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2017 魏火曜兒科研究基金會 優秀論文獎</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2018 台灣新生兒科醫學會 優秀論文獎</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2017~2020台灣新生兒科醫學會副秘書長</w:t>
      </w:r>
    </w:p>
    <w:p w:rsidR="004D402D" w:rsidRPr="004D402D" w:rsidRDefault="004D402D"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2020~ 台灣新生兒科醫學會監事</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現任</w:t>
      </w:r>
      <w:r w:rsidR="00BB1BDC">
        <w:rPr>
          <w:rFonts w:ascii="標楷體" w:eastAsia="標楷體" w:hAnsi="標楷體" w:cs="華康中黑體" w:hint="eastAsia"/>
          <w:sz w:val="28"/>
          <w:szCs w:val="28"/>
        </w:rPr>
        <w:t>：</w:t>
      </w:r>
      <w:r w:rsidRPr="004D402D">
        <w:rPr>
          <w:rFonts w:ascii="標楷體" w:eastAsia="標楷體" w:hAnsi="標楷體" w:cs="華康中黑體" w:hint="eastAsia"/>
          <w:sz w:val="28"/>
          <w:szCs w:val="28"/>
        </w:rPr>
        <w:t>彰化基督教兒童醫院新生兒科主任</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彰化基督教兒童醫院</w:t>
      </w:r>
      <w:proofErr w:type="gramStart"/>
      <w:r w:rsidRPr="004D402D">
        <w:rPr>
          <w:rFonts w:ascii="標楷體" w:eastAsia="標楷體" w:hAnsi="標楷體" w:cs="華康中黑體" w:hint="eastAsia"/>
          <w:sz w:val="28"/>
          <w:szCs w:val="28"/>
        </w:rPr>
        <w:t>兒科部副主任</w:t>
      </w:r>
      <w:proofErr w:type="gramEnd"/>
    </w:p>
    <w:p w:rsidR="004D402D" w:rsidRPr="004D402D" w:rsidRDefault="00BB1BDC"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w:t>
      </w:r>
      <w:r w:rsidR="004D402D" w:rsidRPr="004D402D">
        <w:rPr>
          <w:rFonts w:ascii="標楷體" w:eastAsia="標楷體" w:hAnsi="標楷體" w:cs="華康中黑體" w:hint="eastAsia"/>
          <w:sz w:val="28"/>
          <w:szCs w:val="28"/>
        </w:rPr>
        <w:t>彰化基督教兒童醫院新生兒照護中心主任</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 xml:space="preserve"> 彰化基督教兒童醫院兒童健檢中心主任</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教育部定助理教授</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lastRenderedPageBreak/>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高雄醫學大學醫學系兼任助理教授</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 xml:space="preserve"> 中山醫學大學醫學系兼任助理教授</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 xml:space="preserve">    </w:t>
      </w:r>
      <w:r w:rsidR="00BB1BDC">
        <w:rPr>
          <w:rFonts w:ascii="標楷體" w:eastAsia="標楷體" w:hAnsi="標楷體" w:cs="華康中黑體" w:hint="eastAsia"/>
          <w:sz w:val="28"/>
          <w:szCs w:val="28"/>
        </w:rPr>
        <w:t xml:space="preserve"> </w:t>
      </w:r>
      <w:r w:rsidRPr="004D402D">
        <w:rPr>
          <w:rFonts w:ascii="標楷體" w:eastAsia="標楷體" w:hAnsi="標楷體" w:cs="華康中黑體" w:hint="eastAsia"/>
          <w:sz w:val="28"/>
          <w:szCs w:val="28"/>
        </w:rPr>
        <w:t xml:space="preserve"> 中興大學兼任助理教授</w:t>
      </w:r>
    </w:p>
    <w:p w:rsidR="004D402D" w:rsidRPr="004D402D" w:rsidRDefault="004D402D" w:rsidP="004D402D">
      <w:pPr>
        <w:spacing w:line="560" w:lineRule="exact"/>
        <w:rPr>
          <w:rFonts w:ascii="標楷體" w:eastAsia="標楷體" w:hAnsi="標楷體" w:cs="華康中黑體" w:hint="eastAsia"/>
          <w:sz w:val="28"/>
          <w:szCs w:val="28"/>
        </w:rPr>
      </w:pPr>
      <w:r w:rsidRPr="004D402D">
        <w:rPr>
          <w:rFonts w:ascii="標楷體" w:eastAsia="標楷體" w:hAnsi="標楷體" w:cs="華康中黑體" w:hint="eastAsia"/>
          <w:sz w:val="28"/>
          <w:szCs w:val="28"/>
        </w:rPr>
        <w:t>專長：（專、次專科病症，進修領域，特別之治療檢查等）</w:t>
      </w:r>
    </w:p>
    <w:p w:rsidR="004D402D" w:rsidRPr="004D402D" w:rsidRDefault="00BB1BDC"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1.</w:t>
      </w:r>
      <w:r w:rsidR="004D402D" w:rsidRPr="004D402D">
        <w:rPr>
          <w:rFonts w:ascii="標楷體" w:eastAsia="標楷體" w:hAnsi="標楷體" w:cs="華康中黑體" w:hint="eastAsia"/>
          <w:sz w:val="28"/>
          <w:szCs w:val="28"/>
        </w:rPr>
        <w:t>新生兒重症加護,營養照護</w:t>
      </w:r>
    </w:p>
    <w:p w:rsidR="004D402D" w:rsidRPr="004D402D" w:rsidRDefault="00BB1BDC"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2.</w:t>
      </w:r>
      <w:r w:rsidR="004D402D" w:rsidRPr="004D402D">
        <w:rPr>
          <w:rFonts w:ascii="標楷體" w:eastAsia="標楷體" w:hAnsi="標楷體" w:cs="華康中黑體" w:hint="eastAsia"/>
          <w:sz w:val="28"/>
          <w:szCs w:val="28"/>
        </w:rPr>
        <w:t>早產兒照護及呼吸治療</w:t>
      </w:r>
    </w:p>
    <w:p w:rsidR="004D402D" w:rsidRPr="004D402D" w:rsidRDefault="00BB1BDC"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3.</w:t>
      </w:r>
      <w:r w:rsidR="004D402D" w:rsidRPr="004D402D">
        <w:rPr>
          <w:rFonts w:ascii="標楷體" w:eastAsia="標楷體" w:hAnsi="標楷體" w:cs="華康中黑體" w:hint="eastAsia"/>
          <w:sz w:val="28"/>
          <w:szCs w:val="28"/>
        </w:rPr>
        <w:t>新生兒健檢及預防注射</w:t>
      </w:r>
    </w:p>
    <w:p w:rsidR="004D402D" w:rsidRPr="004D402D" w:rsidRDefault="00BB1BDC" w:rsidP="004D402D">
      <w:pPr>
        <w:spacing w:line="560" w:lineRule="exact"/>
        <w:rPr>
          <w:rFonts w:ascii="標楷體" w:eastAsia="標楷體" w:hAnsi="標楷體" w:cs="華康中黑體" w:hint="eastAsia"/>
          <w:sz w:val="28"/>
          <w:szCs w:val="28"/>
        </w:rPr>
      </w:pPr>
      <w:r>
        <w:rPr>
          <w:rFonts w:ascii="標楷體" w:eastAsia="標楷體" w:hAnsi="標楷體" w:cs="華康中黑體" w:hint="eastAsia"/>
          <w:sz w:val="28"/>
          <w:szCs w:val="28"/>
        </w:rPr>
        <w:t xml:space="preserve">      4.</w:t>
      </w:r>
      <w:r w:rsidR="004D402D" w:rsidRPr="004D402D">
        <w:rPr>
          <w:rFonts w:ascii="標楷體" w:eastAsia="標楷體" w:hAnsi="標楷體" w:cs="華康中黑體" w:hint="eastAsia"/>
          <w:sz w:val="28"/>
          <w:szCs w:val="28"/>
        </w:rPr>
        <w:t>一般小兒疾病，呼吸道感染及咳嗽</w:t>
      </w:r>
    </w:p>
    <w:p w:rsidR="004D402D" w:rsidRPr="007C6F6C" w:rsidRDefault="00BB1BDC" w:rsidP="004D402D">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5.</w:t>
      </w:r>
      <w:r w:rsidR="004D402D" w:rsidRPr="004D402D">
        <w:rPr>
          <w:rFonts w:ascii="標楷體" w:eastAsia="標楷體" w:hAnsi="標楷體" w:cs="華康中黑體" w:hint="eastAsia"/>
          <w:sz w:val="28"/>
          <w:szCs w:val="28"/>
        </w:rPr>
        <w:t>呼吸系統疾病</w:t>
      </w:r>
    </w:p>
    <w:p w:rsidR="00BB1BDC" w:rsidRDefault="00BB1BDC" w:rsidP="007C6F6C">
      <w:pPr>
        <w:spacing w:line="560" w:lineRule="exact"/>
        <w:rPr>
          <w:rFonts w:ascii="標楷體" w:eastAsia="標楷體" w:hAnsi="標楷體" w:cs="華康中黑體" w:hint="eastAsia"/>
          <w:color w:val="3333FF"/>
          <w:sz w:val="36"/>
          <w:szCs w:val="36"/>
        </w:rPr>
      </w:pPr>
    </w:p>
    <w:p w:rsidR="00BB1BDC" w:rsidRDefault="00BB1BDC" w:rsidP="007C6F6C">
      <w:pPr>
        <w:spacing w:line="560" w:lineRule="exact"/>
        <w:rPr>
          <w:rFonts w:ascii="標楷體" w:eastAsia="標楷體" w:hAnsi="標楷體" w:cs="華康中黑體" w:hint="eastAsia"/>
          <w:color w:val="3333FF"/>
          <w:sz w:val="36"/>
          <w:szCs w:val="36"/>
        </w:rPr>
      </w:pPr>
    </w:p>
    <w:p w:rsidR="002B7138" w:rsidRDefault="002B7138" w:rsidP="007C6F6C">
      <w:pPr>
        <w:spacing w:line="560" w:lineRule="exact"/>
        <w:rPr>
          <w:rFonts w:ascii="標楷體" w:eastAsia="標楷體" w:hAnsi="標楷體" w:cs="華康中黑體" w:hint="eastAsia"/>
          <w:color w:val="3333FF"/>
          <w:sz w:val="36"/>
          <w:szCs w:val="36"/>
        </w:rPr>
      </w:pPr>
    </w:p>
    <w:p w:rsidR="007C6F6C" w:rsidRPr="009648B2" w:rsidRDefault="007C6F6C" w:rsidP="007C6F6C">
      <w:pPr>
        <w:spacing w:line="560" w:lineRule="exact"/>
        <w:rPr>
          <w:rFonts w:ascii="標楷體" w:eastAsia="標楷體" w:hAnsi="標楷體" w:cs="華康中黑體"/>
          <w:color w:val="3333FF"/>
          <w:sz w:val="36"/>
          <w:szCs w:val="36"/>
        </w:rPr>
      </w:pPr>
      <w:r w:rsidRPr="009648B2">
        <w:rPr>
          <w:rFonts w:ascii="標楷體" w:eastAsia="標楷體" w:hAnsi="標楷體" w:cs="華康中黑體" w:hint="eastAsia"/>
          <w:color w:val="3333FF"/>
          <w:sz w:val="36"/>
          <w:szCs w:val="36"/>
        </w:rPr>
        <w:t>早產兒出院後的營養與追蹤</w:t>
      </w:r>
    </w:p>
    <w:p w:rsidR="002B7138" w:rsidRDefault="002B7138" w:rsidP="007C6F6C">
      <w:pPr>
        <w:spacing w:line="560" w:lineRule="exact"/>
        <w:rPr>
          <w:rFonts w:ascii="標楷體" w:eastAsia="標楷體" w:hAnsi="標楷體" w:cs="華康中黑體" w:hint="eastAsia"/>
          <w:sz w:val="28"/>
          <w:szCs w:val="28"/>
        </w:rPr>
      </w:pPr>
    </w:p>
    <w:p w:rsidR="00940E86" w:rsidRDefault="002B7138" w:rsidP="00B166F5">
      <w:pPr>
        <w:spacing w:line="560" w:lineRule="exact"/>
        <w:rPr>
          <w:rFonts w:ascii="標楷體" w:eastAsia="標楷體" w:hAnsi="標楷體" w:cs="華康中黑體"/>
          <w:sz w:val="36"/>
          <w:szCs w:val="36"/>
        </w:rPr>
      </w:pPr>
      <w:r>
        <w:rPr>
          <w:rFonts w:ascii="標楷體" w:eastAsia="標楷體" w:hAnsi="標楷體" w:cs="華康中黑體" w:hint="eastAsia"/>
          <w:sz w:val="28"/>
          <w:szCs w:val="28"/>
        </w:rPr>
        <w:t xml:space="preserve">    </w:t>
      </w:r>
      <w:r w:rsidR="007C6F6C" w:rsidRPr="007C6F6C">
        <w:rPr>
          <w:rFonts w:ascii="標楷體" w:eastAsia="標楷體" w:hAnsi="標楷體" w:cs="華康中黑體" w:hint="eastAsia"/>
          <w:sz w:val="28"/>
          <w:szCs w:val="28"/>
        </w:rPr>
        <w:t xml:space="preserve">超低出生體重早產兒(&lt;1000公克)在對照生長曲線表時，使用矯正年齡直到 30-36 </w:t>
      </w:r>
      <w:proofErr w:type="gramStart"/>
      <w:r w:rsidR="007C6F6C" w:rsidRPr="007C6F6C">
        <w:rPr>
          <w:rFonts w:ascii="標楷體" w:eastAsia="標楷體" w:hAnsi="標楷體" w:cs="華康中黑體" w:hint="eastAsia"/>
          <w:sz w:val="28"/>
          <w:szCs w:val="28"/>
        </w:rPr>
        <w:t>個</w:t>
      </w:r>
      <w:proofErr w:type="gramEnd"/>
      <w:r w:rsidR="007C6F6C" w:rsidRPr="007C6F6C">
        <w:rPr>
          <w:rFonts w:ascii="標楷體" w:eastAsia="標楷體" w:hAnsi="標楷體" w:cs="華康中黑體" w:hint="eastAsia"/>
          <w:sz w:val="28"/>
          <w:szCs w:val="28"/>
        </w:rPr>
        <w:t xml:space="preserve">月。Hack 等曾報告極低出生體重早產兒在一歲前(4至12個月大時)有多次加速成長情形，可使其生長指標趨近第25至50百分位。但出生於 23 至 26 </w:t>
      </w:r>
      <w:proofErr w:type="gramStart"/>
      <w:r w:rsidR="007C6F6C" w:rsidRPr="007C6F6C">
        <w:rPr>
          <w:rFonts w:ascii="標楷體" w:eastAsia="標楷體" w:hAnsi="標楷體" w:cs="華康中黑體" w:hint="eastAsia"/>
          <w:sz w:val="28"/>
          <w:szCs w:val="28"/>
        </w:rPr>
        <w:t>週間的</w:t>
      </w:r>
      <w:proofErr w:type="gramEnd"/>
      <w:r w:rsidR="007C6F6C" w:rsidRPr="007C6F6C">
        <w:rPr>
          <w:rFonts w:ascii="標楷體" w:eastAsia="標楷體" w:hAnsi="標楷體" w:cs="華康中黑體" w:hint="eastAsia"/>
          <w:sz w:val="28"/>
          <w:szCs w:val="28"/>
        </w:rPr>
        <w:t>早產兒，則可能會有較為遲緩的成長，也較常發生生長遲滯情形。早產兒出院後若得到良好的營養供給，成長指標以頭圍的成長最早追趕上，之後是體重最後是身長。</w:t>
      </w:r>
    </w:p>
    <w:sectPr w:rsidR="00940E86"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7C" w:rsidRDefault="00E12C7C" w:rsidP="006546D6">
      <w:r>
        <w:separator/>
      </w:r>
    </w:p>
  </w:endnote>
  <w:endnote w:type="continuationSeparator" w:id="0">
    <w:p w:rsidR="00E12C7C" w:rsidRDefault="00E12C7C"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7C" w:rsidRDefault="00E12C7C" w:rsidP="006546D6">
      <w:r>
        <w:separator/>
      </w:r>
    </w:p>
  </w:footnote>
  <w:footnote w:type="continuationSeparator" w:id="0">
    <w:p w:rsidR="00E12C7C" w:rsidRDefault="00E12C7C"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0787E"/>
    <w:rsid w:val="00042703"/>
    <w:rsid w:val="00044E88"/>
    <w:rsid w:val="000567B4"/>
    <w:rsid w:val="00070D25"/>
    <w:rsid w:val="00077AA5"/>
    <w:rsid w:val="000B2642"/>
    <w:rsid w:val="000C1947"/>
    <w:rsid w:val="000C6A74"/>
    <w:rsid w:val="000E36A1"/>
    <w:rsid w:val="000F0B8D"/>
    <w:rsid w:val="00111244"/>
    <w:rsid w:val="001734BE"/>
    <w:rsid w:val="001953FB"/>
    <w:rsid w:val="001A0436"/>
    <w:rsid w:val="001B1EFD"/>
    <w:rsid w:val="001B62E6"/>
    <w:rsid w:val="001C1CF5"/>
    <w:rsid w:val="001D615A"/>
    <w:rsid w:val="001E3760"/>
    <w:rsid w:val="0022647D"/>
    <w:rsid w:val="0026115D"/>
    <w:rsid w:val="0026335C"/>
    <w:rsid w:val="002777E6"/>
    <w:rsid w:val="002A626D"/>
    <w:rsid w:val="002B7138"/>
    <w:rsid w:val="002C7D78"/>
    <w:rsid w:val="00305DD5"/>
    <w:rsid w:val="003124BF"/>
    <w:rsid w:val="003269E2"/>
    <w:rsid w:val="0037612B"/>
    <w:rsid w:val="00385B31"/>
    <w:rsid w:val="003C3EF2"/>
    <w:rsid w:val="003D4C48"/>
    <w:rsid w:val="003E0878"/>
    <w:rsid w:val="003F36A5"/>
    <w:rsid w:val="00452D4E"/>
    <w:rsid w:val="00454A9D"/>
    <w:rsid w:val="00462DA7"/>
    <w:rsid w:val="0047617F"/>
    <w:rsid w:val="004C2A20"/>
    <w:rsid w:val="004D402D"/>
    <w:rsid w:val="00501B08"/>
    <w:rsid w:val="00561805"/>
    <w:rsid w:val="0057515A"/>
    <w:rsid w:val="005772F8"/>
    <w:rsid w:val="00597D2F"/>
    <w:rsid w:val="005C0CF0"/>
    <w:rsid w:val="006019E1"/>
    <w:rsid w:val="006503A2"/>
    <w:rsid w:val="006546D6"/>
    <w:rsid w:val="00662C5B"/>
    <w:rsid w:val="00666168"/>
    <w:rsid w:val="006A28C8"/>
    <w:rsid w:val="006E2FCC"/>
    <w:rsid w:val="00723A5F"/>
    <w:rsid w:val="00753D92"/>
    <w:rsid w:val="00760AD1"/>
    <w:rsid w:val="00764E31"/>
    <w:rsid w:val="00780D0B"/>
    <w:rsid w:val="0079757A"/>
    <w:rsid w:val="007C3407"/>
    <w:rsid w:val="007C6F6C"/>
    <w:rsid w:val="007D3A36"/>
    <w:rsid w:val="007E4205"/>
    <w:rsid w:val="0081175E"/>
    <w:rsid w:val="00847943"/>
    <w:rsid w:val="008617E0"/>
    <w:rsid w:val="00874E46"/>
    <w:rsid w:val="008751D7"/>
    <w:rsid w:val="008C3FC9"/>
    <w:rsid w:val="008D51C2"/>
    <w:rsid w:val="008E5DC1"/>
    <w:rsid w:val="008F6181"/>
    <w:rsid w:val="00926C21"/>
    <w:rsid w:val="00940E86"/>
    <w:rsid w:val="00951809"/>
    <w:rsid w:val="009648B2"/>
    <w:rsid w:val="00974D0C"/>
    <w:rsid w:val="009849E7"/>
    <w:rsid w:val="009869D5"/>
    <w:rsid w:val="009A1964"/>
    <w:rsid w:val="009C49C8"/>
    <w:rsid w:val="009E3F07"/>
    <w:rsid w:val="00A204A7"/>
    <w:rsid w:val="00A255A8"/>
    <w:rsid w:val="00A469BE"/>
    <w:rsid w:val="00AA6685"/>
    <w:rsid w:val="00AC7F27"/>
    <w:rsid w:val="00B166F5"/>
    <w:rsid w:val="00B42DB5"/>
    <w:rsid w:val="00B504A0"/>
    <w:rsid w:val="00B757C2"/>
    <w:rsid w:val="00B93638"/>
    <w:rsid w:val="00BB1BDC"/>
    <w:rsid w:val="00BB5D85"/>
    <w:rsid w:val="00C02587"/>
    <w:rsid w:val="00C37D76"/>
    <w:rsid w:val="00C40277"/>
    <w:rsid w:val="00C510FC"/>
    <w:rsid w:val="00C5715A"/>
    <w:rsid w:val="00C702C6"/>
    <w:rsid w:val="00CB3BE8"/>
    <w:rsid w:val="00CF2E97"/>
    <w:rsid w:val="00D118A4"/>
    <w:rsid w:val="00D24123"/>
    <w:rsid w:val="00D32CA6"/>
    <w:rsid w:val="00D82538"/>
    <w:rsid w:val="00D9021B"/>
    <w:rsid w:val="00DA63A9"/>
    <w:rsid w:val="00DB5DE7"/>
    <w:rsid w:val="00DC4BFA"/>
    <w:rsid w:val="00DE264A"/>
    <w:rsid w:val="00E12C7C"/>
    <w:rsid w:val="00E35022"/>
    <w:rsid w:val="00E36D80"/>
    <w:rsid w:val="00E43684"/>
    <w:rsid w:val="00E46EDB"/>
    <w:rsid w:val="00E46EE9"/>
    <w:rsid w:val="00E840AF"/>
    <w:rsid w:val="00E844FB"/>
    <w:rsid w:val="00EB1884"/>
    <w:rsid w:val="00EC35C5"/>
    <w:rsid w:val="00EE7009"/>
    <w:rsid w:val="00F05BAB"/>
    <w:rsid w:val="00F17858"/>
    <w:rsid w:val="00F551E5"/>
    <w:rsid w:val="00F5770D"/>
    <w:rsid w:val="00F61E01"/>
    <w:rsid w:val="00F93BB1"/>
    <w:rsid w:val="00FE3EA9"/>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45C7-DCE9-44F8-B3C6-E5CA55A7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2021-09-27T06:14:00Z</cp:lastPrinted>
  <dcterms:created xsi:type="dcterms:W3CDTF">2021-09-27T01:45:00Z</dcterms:created>
  <dcterms:modified xsi:type="dcterms:W3CDTF">2021-09-27T07:53:00Z</dcterms:modified>
</cp:coreProperties>
</file>